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C50B27" w14:textId="77777777" w:rsidR="005D4AED" w:rsidRPr="00E975A7" w:rsidRDefault="005D4AED" w:rsidP="005D4AED">
      <w:pPr>
        <w:spacing w:before="60" w:after="80"/>
        <w:jc w:val="center"/>
        <w:rPr>
          <w:rFonts w:ascii="Times New Roman" w:hAnsi="Times New Roman" w:cs="Times New Roman"/>
        </w:rPr>
      </w:pPr>
      <w:r w:rsidRPr="00E975A7">
        <w:rPr>
          <w:rFonts w:ascii="Times New Roman" w:hAnsi="Times New Roman" w:cs="Times New Roman"/>
          <w:noProof/>
        </w:rPr>
        <w:drawing>
          <wp:inline distT="0" distB="0" distL="0" distR="0" wp14:anchorId="55DF9C06" wp14:editId="56101824">
            <wp:extent cx="2800350" cy="314325"/>
            <wp:effectExtent l="0" t="0" r="0" b="9525"/>
            <wp:docPr id="1" name="logo_hdr.png" descr="KDB Bank Uzbekistan" title="KDB Bank Uzbekis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818457" cy="316357"/>
                    </a:xfrm>
                    <a:prstGeom prst="rect">
                      <a:avLst/>
                    </a:prstGeom>
                  </pic:spPr>
                </pic:pic>
              </a:graphicData>
            </a:graphic>
          </wp:inline>
        </w:drawing>
      </w:r>
    </w:p>
    <w:p w14:paraId="352AFF6C" w14:textId="77777777" w:rsidR="005D4AED" w:rsidRPr="00E975A7" w:rsidRDefault="005D4AED">
      <w:pPr>
        <w:spacing w:after="100"/>
        <w:jc w:val="center"/>
        <w:rPr>
          <w:rFonts w:ascii="Times New Roman" w:hAnsi="Times New Roman" w:cs="Times New Roman"/>
          <w:b/>
          <w:bCs/>
          <w:color w:val="1F3A5F"/>
          <w:lang w:val="en-US"/>
        </w:rPr>
      </w:pPr>
    </w:p>
    <w:p w14:paraId="6E797D7F" w14:textId="45A71059" w:rsidR="002F4636" w:rsidRPr="00E975A7" w:rsidRDefault="0096430D">
      <w:pPr>
        <w:spacing w:after="100"/>
        <w:jc w:val="center"/>
        <w:rPr>
          <w:rFonts w:ascii="Times New Roman" w:hAnsi="Times New Roman" w:cs="Times New Roman"/>
          <w:lang w:val="en-US"/>
        </w:rPr>
      </w:pPr>
      <w:r w:rsidRPr="00E975A7">
        <w:rPr>
          <w:rFonts w:ascii="Times New Roman" w:hAnsi="Times New Roman" w:cs="Times New Roman"/>
          <w:b/>
          <w:bCs/>
          <w:color w:val="1F3A5F"/>
          <w:lang w:val="en-US"/>
        </w:rPr>
        <w:t>Analytical Report on Appeals Received by JSC “KDB Bank Uzbekistan” from Individuals and Legal Entities in Q3 2026 and Their Review</w:t>
      </w:r>
    </w:p>
    <w:p w14:paraId="6F1790A2" w14:textId="0D69607B" w:rsidR="005D4AED" w:rsidRPr="00E975A7" w:rsidRDefault="005D4AED">
      <w:pPr>
        <w:spacing w:after="80" w:line="270" w:lineRule="auto"/>
        <w:jc w:val="both"/>
        <w:rPr>
          <w:rFonts w:ascii="Times New Roman" w:hAnsi="Times New Roman" w:cs="Times New Roman"/>
          <w:lang w:val="en-US"/>
        </w:rPr>
      </w:pPr>
      <w:r w:rsidRPr="00E975A7">
        <w:rPr>
          <w:rFonts w:ascii="Times New Roman" w:hAnsi="Times New Roman" w:cs="Times New Roman"/>
          <w:lang w:val="en-US"/>
        </w:rPr>
        <w:t>This report analyzes the appeals received by JSC “KDB Bank Uzbekistan”, covering current management status, identified negative cases, systemic deficiencies, and specific risks, while outlining proposed measures to address these issues.</w:t>
      </w:r>
    </w:p>
    <w:p w14:paraId="6737582F" w14:textId="77777777" w:rsidR="002F4636" w:rsidRPr="00E975A7" w:rsidRDefault="0096430D">
      <w:pPr>
        <w:keepNext/>
        <w:pBdr>
          <w:left w:val="single" w:sz="36" w:space="8" w:color="E9B44C"/>
        </w:pBdr>
        <w:spacing w:before="160" w:after="80"/>
        <w:rPr>
          <w:rFonts w:ascii="Times New Roman" w:hAnsi="Times New Roman" w:cs="Times New Roman"/>
          <w:lang w:val="en-US"/>
        </w:rPr>
      </w:pPr>
      <w:r w:rsidRPr="00E975A7">
        <w:rPr>
          <w:rFonts w:ascii="Times New Roman" w:hAnsi="Times New Roman" w:cs="Times New Roman"/>
          <w:b/>
          <w:bCs/>
          <w:i/>
          <w:iCs/>
          <w:color w:val="1F3A5F"/>
          <w:lang w:val="en-US"/>
        </w:rPr>
        <w:t>Statistical Overview</w:t>
      </w:r>
    </w:p>
    <w:tbl>
      <w:tblPr>
        <w:tblW w:w="7653" w:type="dxa"/>
        <w:tblInd w:w="1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51"/>
        <w:gridCol w:w="2551"/>
        <w:gridCol w:w="2551"/>
      </w:tblGrid>
      <w:tr w:rsidR="00DD4E01" w:rsidRPr="00674AE4" w14:paraId="4026AA82" w14:textId="77777777" w:rsidTr="00DD4E01">
        <w:tc>
          <w:tcPr>
            <w:tcW w:w="2551" w:type="dxa"/>
            <w:tcBorders>
              <w:top w:val="single" w:sz="24" w:space="0" w:color="1F3A5F"/>
              <w:left w:val="single" w:sz="14" w:space="0" w:color="FFFFFF"/>
              <w:bottom w:val="single" w:sz="6" w:space="0" w:color="FFFFFF"/>
              <w:right w:val="single" w:sz="14" w:space="0" w:color="FFFFFF"/>
            </w:tcBorders>
            <w:shd w:val="clear" w:color="auto" w:fill="EAF1F8"/>
            <w:tcMar>
              <w:top w:w="80" w:type="dxa"/>
              <w:left w:w="60" w:type="dxa"/>
              <w:bottom w:w="80" w:type="dxa"/>
              <w:right w:w="60" w:type="dxa"/>
            </w:tcMar>
            <w:vAlign w:val="center"/>
          </w:tcPr>
          <w:p w14:paraId="513EE4A1" w14:textId="77777777" w:rsidR="00DD4E01" w:rsidRPr="00E975A7" w:rsidRDefault="00DD4E01">
            <w:pPr>
              <w:jc w:val="center"/>
              <w:rPr>
                <w:rFonts w:ascii="Times New Roman" w:hAnsi="Times New Roman" w:cs="Times New Roman"/>
              </w:rPr>
            </w:pPr>
            <w:r w:rsidRPr="00E975A7">
              <w:rPr>
                <w:rFonts w:ascii="Times New Roman" w:hAnsi="Times New Roman" w:cs="Times New Roman"/>
                <w:b/>
                <w:bCs/>
                <w:color w:val="1F3A5F"/>
              </w:rPr>
              <w:t>46</w:t>
            </w:r>
          </w:p>
          <w:p w14:paraId="74D5E15B" w14:textId="77777777" w:rsidR="00DD4E01" w:rsidRPr="00E975A7" w:rsidRDefault="00DD4E01">
            <w:pPr>
              <w:spacing w:after="20"/>
              <w:jc w:val="center"/>
              <w:rPr>
                <w:rFonts w:ascii="Times New Roman" w:hAnsi="Times New Roman" w:cs="Times New Roman"/>
              </w:rPr>
            </w:pPr>
            <w:r w:rsidRPr="00E975A7">
              <w:rPr>
                <w:rFonts w:ascii="Times New Roman" w:hAnsi="Times New Roman" w:cs="Times New Roman"/>
                <w:b/>
                <w:bCs/>
                <w:color w:val="5B6B7F"/>
              </w:rPr>
              <w:t>Total appeals</w:t>
            </w:r>
          </w:p>
          <w:p w14:paraId="4C335D57" w14:textId="77777777" w:rsidR="00DD4E01" w:rsidRPr="00E975A7" w:rsidRDefault="00DD4E01">
            <w:pPr>
              <w:jc w:val="center"/>
              <w:rPr>
                <w:rFonts w:ascii="Times New Roman" w:hAnsi="Times New Roman" w:cs="Times New Roman"/>
              </w:rPr>
            </w:pPr>
            <w:r w:rsidRPr="00E975A7">
              <w:rPr>
                <w:rFonts w:ascii="Times New Roman" w:hAnsi="Times New Roman" w:cs="Times New Roman"/>
                <w:b/>
                <w:bCs/>
                <w:color w:val="B26A00"/>
              </w:rPr>
              <w:t>↑ +9 (+24%) vs. Q2</w:t>
            </w:r>
          </w:p>
        </w:tc>
        <w:tc>
          <w:tcPr>
            <w:tcW w:w="2551" w:type="dxa"/>
            <w:tcBorders>
              <w:top w:val="single" w:sz="24" w:space="0" w:color="2A9D8F"/>
              <w:left w:val="single" w:sz="14" w:space="0" w:color="FFFFFF"/>
              <w:bottom w:val="single" w:sz="6" w:space="0" w:color="FFFFFF"/>
              <w:right w:val="single" w:sz="14" w:space="0" w:color="FFFFFF"/>
            </w:tcBorders>
            <w:shd w:val="clear" w:color="auto" w:fill="EAF1F8"/>
            <w:tcMar>
              <w:top w:w="80" w:type="dxa"/>
              <w:left w:w="60" w:type="dxa"/>
              <w:bottom w:w="80" w:type="dxa"/>
              <w:right w:w="60" w:type="dxa"/>
            </w:tcMar>
            <w:vAlign w:val="center"/>
          </w:tcPr>
          <w:p w14:paraId="6990A10E" w14:textId="77777777" w:rsidR="00DD4E01" w:rsidRPr="00E975A7" w:rsidRDefault="00DD4E01">
            <w:pPr>
              <w:jc w:val="center"/>
              <w:rPr>
                <w:rFonts w:ascii="Times New Roman" w:hAnsi="Times New Roman" w:cs="Times New Roman"/>
              </w:rPr>
            </w:pPr>
            <w:r w:rsidRPr="00E975A7">
              <w:rPr>
                <w:rFonts w:ascii="Times New Roman" w:hAnsi="Times New Roman" w:cs="Times New Roman"/>
                <w:b/>
                <w:bCs/>
                <w:color w:val="1F3A5F"/>
              </w:rPr>
              <w:t>38</w:t>
            </w:r>
          </w:p>
          <w:p w14:paraId="6C7F76BE" w14:textId="77777777" w:rsidR="00DD4E01" w:rsidRPr="00E975A7" w:rsidRDefault="00DD4E01">
            <w:pPr>
              <w:spacing w:after="20"/>
              <w:jc w:val="center"/>
              <w:rPr>
                <w:rFonts w:ascii="Times New Roman" w:hAnsi="Times New Roman" w:cs="Times New Roman"/>
              </w:rPr>
            </w:pPr>
            <w:r w:rsidRPr="00E975A7">
              <w:rPr>
                <w:rFonts w:ascii="Times New Roman" w:hAnsi="Times New Roman" w:cs="Times New Roman"/>
                <w:b/>
                <w:bCs/>
                <w:color w:val="5B6B7F"/>
              </w:rPr>
              <w:t>Individuals</w:t>
            </w:r>
          </w:p>
          <w:p w14:paraId="70FB3D00" w14:textId="77777777" w:rsidR="00DD4E01" w:rsidRPr="00E975A7" w:rsidRDefault="00DD4E01">
            <w:pPr>
              <w:jc w:val="center"/>
              <w:rPr>
                <w:rFonts w:ascii="Times New Roman" w:hAnsi="Times New Roman" w:cs="Times New Roman"/>
              </w:rPr>
            </w:pPr>
            <w:r w:rsidRPr="00E975A7">
              <w:rPr>
                <w:rFonts w:ascii="Times New Roman" w:hAnsi="Times New Roman" w:cs="Times New Roman"/>
                <w:b/>
                <w:bCs/>
                <w:color w:val="B26A00"/>
              </w:rPr>
              <w:t>↑ 29 in Q2</w:t>
            </w:r>
          </w:p>
        </w:tc>
        <w:tc>
          <w:tcPr>
            <w:tcW w:w="2551" w:type="dxa"/>
            <w:tcBorders>
              <w:top w:val="single" w:sz="24" w:space="0" w:color="E9B44C"/>
              <w:left w:val="single" w:sz="14" w:space="0" w:color="FFFFFF"/>
              <w:bottom w:val="single" w:sz="6" w:space="0" w:color="FFFFFF"/>
              <w:right w:val="single" w:sz="14" w:space="0" w:color="FFFFFF"/>
            </w:tcBorders>
            <w:shd w:val="clear" w:color="auto" w:fill="EAF1F8"/>
            <w:tcMar>
              <w:top w:w="80" w:type="dxa"/>
              <w:left w:w="60" w:type="dxa"/>
              <w:bottom w:w="80" w:type="dxa"/>
              <w:right w:w="60" w:type="dxa"/>
            </w:tcMar>
            <w:vAlign w:val="center"/>
          </w:tcPr>
          <w:p w14:paraId="71600B14" w14:textId="77777777" w:rsidR="00DD4E01" w:rsidRPr="00E975A7" w:rsidRDefault="00DD4E01">
            <w:pPr>
              <w:jc w:val="center"/>
              <w:rPr>
                <w:rFonts w:ascii="Times New Roman" w:hAnsi="Times New Roman" w:cs="Times New Roman"/>
                <w:lang w:val="en-US"/>
              </w:rPr>
            </w:pPr>
            <w:r w:rsidRPr="00E975A7">
              <w:rPr>
                <w:rFonts w:ascii="Times New Roman" w:hAnsi="Times New Roman" w:cs="Times New Roman"/>
                <w:b/>
                <w:bCs/>
                <w:color w:val="1F3A5F"/>
                <w:lang w:val="en-US"/>
              </w:rPr>
              <w:t>8</w:t>
            </w:r>
          </w:p>
          <w:p w14:paraId="0C95F5A1" w14:textId="77777777" w:rsidR="00DD4E01" w:rsidRPr="00E975A7" w:rsidRDefault="00DD4E01">
            <w:pPr>
              <w:spacing w:after="20"/>
              <w:jc w:val="center"/>
              <w:rPr>
                <w:rFonts w:ascii="Times New Roman" w:hAnsi="Times New Roman" w:cs="Times New Roman"/>
                <w:lang w:val="en-US"/>
              </w:rPr>
            </w:pPr>
            <w:r w:rsidRPr="00E975A7">
              <w:rPr>
                <w:rFonts w:ascii="Times New Roman" w:hAnsi="Times New Roman" w:cs="Times New Roman"/>
                <w:b/>
                <w:bCs/>
                <w:color w:val="5B6B7F"/>
                <w:lang w:val="en-US"/>
              </w:rPr>
              <w:t>Legal entities</w:t>
            </w:r>
          </w:p>
          <w:p w14:paraId="6FFCE299" w14:textId="77777777" w:rsidR="00DD4E01" w:rsidRPr="00E975A7" w:rsidRDefault="00DD4E01">
            <w:pPr>
              <w:jc w:val="center"/>
              <w:rPr>
                <w:rFonts w:ascii="Times New Roman" w:hAnsi="Times New Roman" w:cs="Times New Roman"/>
                <w:lang w:val="en-US"/>
              </w:rPr>
            </w:pPr>
            <w:r w:rsidRPr="00E975A7">
              <w:rPr>
                <w:rFonts w:ascii="Times New Roman" w:hAnsi="Times New Roman" w:cs="Times New Roman"/>
                <w:b/>
                <w:bCs/>
                <w:color w:val="5B6B7F"/>
                <w:lang w:val="en-US"/>
              </w:rPr>
              <w:t>→ unchanged vs. Q2</w:t>
            </w:r>
          </w:p>
        </w:tc>
      </w:tr>
    </w:tbl>
    <w:p w14:paraId="75998746" w14:textId="76D35237" w:rsidR="00DD4E01" w:rsidRPr="00E975A7" w:rsidRDefault="00DD4E01">
      <w:pPr>
        <w:spacing w:after="60"/>
        <w:rPr>
          <w:rFonts w:ascii="Times New Roman" w:hAnsi="Times New Roman" w:cs="Times New Roman"/>
          <w:lang w:val="en-US"/>
        </w:rPr>
      </w:pPr>
      <w:r w:rsidRPr="00E975A7">
        <w:rPr>
          <w:rFonts w:ascii="Times New Roman" w:hAnsi="Times New Roman" w:cs="Times New Roman"/>
          <w:lang w:val="en-US"/>
        </w:rPr>
        <w:t xml:space="preserve">   </w:t>
      </w:r>
    </w:p>
    <w:p w14:paraId="7101EC6F" w14:textId="77777777" w:rsidR="00F43118" w:rsidRPr="00E975A7" w:rsidRDefault="00F43118" w:rsidP="003F36E2">
      <w:pPr>
        <w:pStyle w:val="ListParagraph"/>
        <w:numPr>
          <w:ilvl w:val="0"/>
          <w:numId w:val="2"/>
        </w:numPr>
        <w:spacing w:before="60" w:after="60" w:line="268" w:lineRule="auto"/>
        <w:jc w:val="both"/>
        <w:rPr>
          <w:rFonts w:ascii="Times New Roman" w:hAnsi="Times New Roman" w:cs="Times New Roman"/>
          <w:lang w:val="en-US"/>
        </w:rPr>
      </w:pPr>
      <w:r w:rsidRPr="00E975A7">
        <w:rPr>
          <w:rFonts w:ascii="Times New Roman" w:hAnsi="Times New Roman" w:cs="Times New Roman"/>
          <w:lang w:val="en-US"/>
        </w:rPr>
        <w:t>In Q3 2026, a total of 46 appeals were received: 38 applications, 7 complaints, and 1 proposal.</w:t>
      </w:r>
    </w:p>
    <w:p w14:paraId="271A2B57" w14:textId="641B6942" w:rsidR="005D4AED" w:rsidRPr="00E975A7" w:rsidRDefault="005D4AED">
      <w:pPr>
        <w:spacing w:after="60"/>
        <w:rPr>
          <w:rFonts w:ascii="Times New Roman" w:hAnsi="Times New Roman" w:cs="Times New Roman"/>
          <w:lang w:val="en-US"/>
        </w:rPr>
      </w:pPr>
      <w:r w:rsidRPr="00E975A7">
        <w:rPr>
          <w:rFonts w:ascii="Times New Roman" w:hAnsi="Times New Roman" w:cs="Times New Roman"/>
          <w:lang w:val="en-US"/>
        </w:rPr>
        <w:t xml:space="preserve">              </w:t>
      </w:r>
      <w:r w:rsidRPr="00E975A7">
        <w:rPr>
          <w:rFonts w:ascii="Times New Roman" w:hAnsi="Times New Roman" w:cs="Times New Roman"/>
          <w:noProof/>
        </w:rPr>
        <w:drawing>
          <wp:inline distT="0" distB="0" distL="0" distR="0" wp14:anchorId="1DC28557" wp14:editId="18E7BDCF">
            <wp:extent cx="6032612" cy="2400300"/>
            <wp:effectExtent l="0" t="0" r="6350" b="0"/>
            <wp:docPr id="2" name="reg.png" descr="Appeals by region" title="Appeals by 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6043003" cy="2404435"/>
                    </a:xfrm>
                    <a:prstGeom prst="rect">
                      <a:avLst/>
                    </a:prstGeom>
                  </pic:spPr>
                </pic:pic>
              </a:graphicData>
            </a:graphic>
          </wp:inline>
        </w:drawing>
      </w:r>
      <w:r w:rsidR="00DD4E01" w:rsidRPr="00E975A7">
        <w:rPr>
          <w:rFonts w:ascii="Times New Roman" w:hAnsi="Times New Roman" w:cs="Times New Roman"/>
          <w:lang w:val="en-US"/>
        </w:rPr>
        <w:t xml:space="preserve">      </w:t>
      </w:r>
    </w:p>
    <w:p w14:paraId="2F072CC9" w14:textId="301A973C" w:rsidR="00DD4E01" w:rsidRPr="00E975A7" w:rsidRDefault="00DD4E01">
      <w:pPr>
        <w:spacing w:after="60"/>
        <w:rPr>
          <w:rFonts w:ascii="Times New Roman" w:hAnsi="Times New Roman" w:cs="Times New Roman"/>
          <w:noProof/>
        </w:rPr>
      </w:pPr>
      <w:r w:rsidRPr="00E975A7">
        <w:rPr>
          <w:rFonts w:ascii="Times New Roman" w:hAnsi="Times New Roman" w:cs="Times New Roman"/>
          <w:lang w:val="en-US"/>
        </w:rPr>
        <w:t xml:space="preserve">    </w:t>
      </w:r>
    </w:p>
    <w:p w14:paraId="168C5B5C" w14:textId="77777777" w:rsidR="00DD4E01" w:rsidRPr="00E975A7" w:rsidRDefault="00DD4E01">
      <w:pPr>
        <w:spacing w:before="40" w:after="40"/>
        <w:rPr>
          <w:rFonts w:ascii="Times New Roman" w:hAnsi="Times New Roman" w:cs="Times New Roman"/>
          <w:b/>
          <w:bCs/>
          <w:color w:val="1F3A5F"/>
          <w:lang w:val="en-US"/>
        </w:rPr>
      </w:pPr>
    </w:p>
    <w:tbl>
      <w:tblPr>
        <w:tblpPr w:leftFromText="180" w:rightFromText="180" w:vertAnchor="text" w:horzAnchor="page" w:tblpX="1336" w:tblpY="124"/>
        <w:tblW w:w="11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72"/>
        <w:gridCol w:w="2086"/>
      </w:tblGrid>
      <w:tr w:rsidR="002C106A" w:rsidRPr="0098110E" w14:paraId="5B934B12" w14:textId="77777777" w:rsidTr="002C106A">
        <w:tc>
          <w:tcPr>
            <w:tcW w:w="9072" w:type="dxa"/>
            <w:tcBorders>
              <w:top w:val="none" w:sz="0" w:space="0" w:color="FFFFFF"/>
              <w:left w:val="none" w:sz="0" w:space="0" w:color="FFFFFF"/>
              <w:bottom w:val="none" w:sz="0" w:space="0" w:color="FFFFFF"/>
              <w:right w:val="none" w:sz="0" w:space="0" w:color="FFFFFF"/>
            </w:tcBorders>
          </w:tcPr>
          <w:p w14:paraId="691FE15C" w14:textId="77777777" w:rsidR="002C106A" w:rsidRPr="00E975A7" w:rsidRDefault="002C106A" w:rsidP="002C106A">
            <w:pPr>
              <w:jc w:val="center"/>
              <w:rPr>
                <w:rFonts w:ascii="Times New Roman" w:hAnsi="Times New Roman" w:cs="Times New Roman"/>
              </w:rPr>
            </w:pPr>
            <w:r w:rsidRPr="00E975A7">
              <w:rPr>
                <w:rFonts w:ascii="Times New Roman" w:hAnsi="Times New Roman" w:cs="Times New Roman"/>
                <w:lang w:val="en-US"/>
              </w:rPr>
              <w:t xml:space="preserve">  </w:t>
            </w:r>
            <w:r w:rsidRPr="00E975A7">
              <w:rPr>
                <w:rFonts w:ascii="Times New Roman" w:hAnsi="Times New Roman" w:cs="Times New Roman"/>
                <w:noProof/>
              </w:rPr>
              <w:drawing>
                <wp:inline distT="0" distB="0" distL="0" distR="0" wp14:anchorId="3CB3C828" wp14:editId="7C426BF2">
                  <wp:extent cx="5419725" cy="3609975"/>
                  <wp:effectExtent l="0" t="0" r="9525" b="9525"/>
                  <wp:docPr id="3" name="pie.png" descr="Subject matter of appeals" title="Subject matter of appe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431992" cy="3618146"/>
                          </a:xfrm>
                          <a:prstGeom prst="rect">
                            <a:avLst/>
                          </a:prstGeom>
                        </pic:spPr>
                      </pic:pic>
                    </a:graphicData>
                  </a:graphic>
                </wp:inline>
              </w:drawing>
            </w:r>
          </w:p>
        </w:tc>
        <w:tc>
          <w:tcPr>
            <w:tcW w:w="2086" w:type="dxa"/>
            <w:tcBorders>
              <w:top w:val="none" w:sz="0" w:space="0" w:color="FFFFFF"/>
              <w:left w:val="none" w:sz="0" w:space="0" w:color="FFFFFF"/>
              <w:bottom w:val="none" w:sz="0" w:space="0" w:color="FFFFFF"/>
              <w:right w:val="none" w:sz="0" w:space="0" w:color="FFFFFF"/>
            </w:tcBorders>
          </w:tcPr>
          <w:p w14:paraId="07156A15" w14:textId="77777777" w:rsidR="002C106A" w:rsidRPr="00E975A7" w:rsidRDefault="002C106A" w:rsidP="002C106A">
            <w:pPr>
              <w:jc w:val="center"/>
              <w:rPr>
                <w:rFonts w:ascii="Times New Roman" w:hAnsi="Times New Roman" w:cs="Times New Roman"/>
              </w:rPr>
            </w:pPr>
          </w:p>
        </w:tc>
      </w:tr>
    </w:tbl>
    <w:p w14:paraId="1BA147D5" w14:textId="77777777" w:rsidR="00DD4E01" w:rsidRPr="00E975A7" w:rsidRDefault="00DD4E01">
      <w:pPr>
        <w:spacing w:before="40" w:after="40"/>
        <w:rPr>
          <w:rFonts w:ascii="Times New Roman" w:hAnsi="Times New Roman" w:cs="Times New Roman"/>
          <w:b/>
          <w:bCs/>
          <w:color w:val="1F3A5F"/>
          <w:lang w:val="en-US"/>
        </w:rPr>
      </w:pPr>
    </w:p>
    <w:p w14:paraId="58AFF7F6" w14:textId="77777777" w:rsidR="00DD4E01" w:rsidRPr="00E975A7" w:rsidRDefault="00DD4E01">
      <w:pPr>
        <w:spacing w:before="40" w:after="40"/>
        <w:rPr>
          <w:rFonts w:ascii="Times New Roman" w:hAnsi="Times New Roman" w:cs="Times New Roman"/>
          <w:b/>
          <w:bCs/>
          <w:color w:val="1F3A5F"/>
          <w:lang w:val="en-US"/>
        </w:rPr>
      </w:pPr>
    </w:p>
    <w:p w14:paraId="18DD8CF0" w14:textId="6E2394BE" w:rsidR="002C106A" w:rsidRPr="00E975A7" w:rsidRDefault="002C106A" w:rsidP="002C106A">
      <w:pPr>
        <w:spacing w:before="60" w:after="80"/>
        <w:jc w:val="center"/>
        <w:rPr>
          <w:rFonts w:ascii="Times New Roman" w:hAnsi="Times New Roman" w:cs="Times New Roman"/>
          <w:lang w:val="en-US"/>
        </w:rPr>
      </w:pPr>
      <w:r w:rsidRPr="00E975A7">
        <w:rPr>
          <w:rFonts w:ascii="Times New Roman" w:hAnsi="Times New Roman" w:cs="Times New Roman"/>
          <w:noProof/>
        </w:rPr>
        <w:lastRenderedPageBreak/>
        <w:drawing>
          <wp:inline distT="0" distB="0" distL="0" distR="0" wp14:anchorId="2B0C6AD6" wp14:editId="628D9F42">
            <wp:extent cx="4984115" cy="2400300"/>
            <wp:effectExtent l="0" t="0" r="6985" b="0"/>
            <wp:docPr id="11" name="dyn.png" descr="Dynamics Q2 vs Q3" title="Dynamics Q2 vs Q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993229" cy="2404689"/>
                    </a:xfrm>
                    <a:prstGeom prst="rect">
                      <a:avLst/>
                    </a:prstGeom>
                  </pic:spPr>
                </pic:pic>
              </a:graphicData>
            </a:graphic>
          </wp:inline>
        </w:drawing>
      </w:r>
    </w:p>
    <w:p w14:paraId="660E4132" w14:textId="77777777" w:rsidR="008E0038" w:rsidRPr="00E975A7" w:rsidRDefault="008E0038" w:rsidP="002C106A">
      <w:pPr>
        <w:spacing w:before="60" w:after="80"/>
        <w:jc w:val="center"/>
        <w:rPr>
          <w:rFonts w:ascii="Times New Roman" w:hAnsi="Times New Roman" w:cs="Times New Roman"/>
          <w:lang w:val="en-US"/>
        </w:rPr>
      </w:pPr>
    </w:p>
    <w:p w14:paraId="79052452" w14:textId="648C6095" w:rsidR="002F4636" w:rsidRPr="00E975A7" w:rsidRDefault="004D5AC7">
      <w:pPr>
        <w:keepNext/>
        <w:pBdr>
          <w:left w:val="single" w:sz="36" w:space="8" w:color="E9B44C"/>
        </w:pBdr>
        <w:spacing w:before="160" w:after="80"/>
        <w:rPr>
          <w:rFonts w:ascii="Times New Roman" w:eastAsia="Times New Roman" w:hAnsi="Times New Roman" w:cs="Times New Roman"/>
          <w:b/>
          <w:bCs/>
          <w:i/>
          <w:iCs/>
          <w:color w:val="1F3864"/>
          <w:lang w:val="en-US"/>
        </w:rPr>
      </w:pPr>
      <w:r w:rsidRPr="00E975A7">
        <w:rPr>
          <w:rFonts w:ascii="Times New Roman" w:hAnsi="Times New Roman" w:cs="Times New Roman"/>
          <w:b/>
          <w:bCs/>
          <w:i/>
          <w:iCs/>
          <w:color w:val="1F3A5F"/>
          <w:lang w:val="en-US"/>
        </w:rPr>
        <w:t xml:space="preserve">Matters on appeals </w:t>
      </w:r>
    </w:p>
    <w:p w14:paraId="0815E1EA" w14:textId="1098F63A" w:rsidR="002C106A" w:rsidRPr="00E975A7" w:rsidRDefault="002C106A" w:rsidP="002C106A">
      <w:pPr>
        <w:spacing w:after="110" w:line="265" w:lineRule="auto"/>
        <w:jc w:val="both"/>
        <w:rPr>
          <w:rFonts w:ascii="Times New Roman" w:hAnsi="Times New Roman" w:cs="Times New Roman"/>
          <w:lang w:val="en-US"/>
        </w:rPr>
      </w:pPr>
      <w:r w:rsidRPr="00E975A7">
        <w:rPr>
          <w:rFonts w:ascii="Times New Roman" w:hAnsi="Times New Roman" w:cs="Times New Roman"/>
          <w:lang w:val="en-US"/>
        </w:rPr>
        <w:t xml:space="preserve">Bank has received appeals on various topics, and short comments on their content </w:t>
      </w:r>
      <w:r w:rsidR="004D5AC7" w:rsidRPr="00E975A7">
        <w:rPr>
          <w:rFonts w:ascii="Times New Roman" w:hAnsi="Times New Roman" w:cs="Times New Roman"/>
          <w:lang w:val="en-US"/>
        </w:rPr>
        <w:t>are</w:t>
      </w:r>
      <w:r w:rsidRPr="00E975A7">
        <w:rPr>
          <w:rFonts w:ascii="Times New Roman" w:hAnsi="Times New Roman" w:cs="Times New Roman"/>
          <w:lang w:val="en-US"/>
        </w:rPr>
        <w:t xml:space="preserve"> </w:t>
      </w:r>
      <w:r w:rsidR="0098110E">
        <w:rPr>
          <w:rFonts w:ascii="Times New Roman" w:hAnsi="Times New Roman" w:cs="Times New Roman"/>
          <w:lang w:val="en-US"/>
        </w:rPr>
        <w:t>shown</w:t>
      </w:r>
      <w:r w:rsidR="0098110E" w:rsidRPr="00E975A7">
        <w:rPr>
          <w:rFonts w:ascii="Times New Roman" w:hAnsi="Times New Roman" w:cs="Times New Roman"/>
          <w:lang w:val="en-US"/>
        </w:rPr>
        <w:t xml:space="preserve"> </w:t>
      </w:r>
      <w:r w:rsidRPr="00E975A7">
        <w:rPr>
          <w:rFonts w:ascii="Times New Roman" w:hAnsi="Times New Roman" w:cs="Times New Roman"/>
          <w:lang w:val="en-US"/>
        </w:rPr>
        <w:t>below.</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303"/>
        <w:gridCol w:w="200"/>
        <w:gridCol w:w="700"/>
        <w:gridCol w:w="4303"/>
      </w:tblGrid>
      <w:tr w:rsidR="002F4636" w:rsidRPr="00674AE4" w14:paraId="42A7A9DA" w14:textId="77777777">
        <w:trPr>
          <w:cantSplit/>
        </w:trPr>
        <w:tc>
          <w:tcPr>
            <w:tcW w:w="700" w:type="dxa"/>
            <w:tcBorders>
              <w:top w:val="none" w:sz="0" w:space="0" w:color="FFFFFF"/>
              <w:left w:val="none" w:sz="0" w:space="0" w:color="FFFFFF"/>
              <w:bottom w:val="none" w:sz="0" w:space="0" w:color="FFFFFF"/>
              <w:right w:val="none" w:sz="0" w:space="0" w:color="FFFFFF"/>
            </w:tcBorders>
            <w:shd w:val="clear" w:color="auto" w:fill="F7FAFD"/>
            <w:tcMar>
              <w:top w:w="60" w:type="dxa"/>
              <w:left w:w="60" w:type="dxa"/>
              <w:bottom w:w="60" w:type="dxa"/>
              <w:right w:w="0" w:type="dxa"/>
            </w:tcMar>
            <w:vAlign w:val="center"/>
          </w:tcPr>
          <w:p w14:paraId="554F493C" w14:textId="37DD289E" w:rsidR="002F4636" w:rsidRPr="00E975A7" w:rsidRDefault="00281B50">
            <w:pPr>
              <w:rPr>
                <w:rFonts w:ascii="Times New Roman" w:hAnsi="Times New Roman" w:cs="Times New Roman"/>
              </w:rPr>
            </w:pPr>
            <w:r w:rsidRPr="00E975A7">
              <w:rPr>
                <w:rFonts w:ascii="Times New Roman" w:hAnsi="Times New Roman" w:cs="Times New Roman"/>
                <w:noProof/>
              </w:rPr>
              <w:drawing>
                <wp:inline distT="0" distB="0" distL="0" distR="0" wp14:anchorId="3A6C03D9" wp14:editId="5CDC7C7D">
                  <wp:extent cx="342900" cy="342900"/>
                  <wp:effectExtent l="0" t="0" r="0" b="0"/>
                  <wp:docPr id="10" name="i_note.png" descr="icon" title="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342900" cy="342900"/>
                          </a:xfrm>
                          <a:prstGeom prst="rect">
                            <a:avLst/>
                          </a:prstGeom>
                        </pic:spPr>
                      </pic:pic>
                    </a:graphicData>
                  </a:graphic>
                </wp:inline>
              </w:drawing>
            </w:r>
          </w:p>
        </w:tc>
        <w:tc>
          <w:tcPr>
            <w:tcW w:w="4303" w:type="dxa"/>
            <w:tcBorders>
              <w:top w:val="none" w:sz="0" w:space="0" w:color="FFFFFF"/>
              <w:left w:val="none" w:sz="0" w:space="0" w:color="FFFFFF"/>
              <w:bottom w:val="none" w:sz="0" w:space="0" w:color="FFFFFF"/>
              <w:right w:val="none" w:sz="0" w:space="0" w:color="FFFFFF"/>
            </w:tcBorders>
            <w:shd w:val="clear" w:color="auto" w:fill="F7FAFD"/>
            <w:tcMar>
              <w:top w:w="60" w:type="dxa"/>
              <w:left w:w="80" w:type="dxa"/>
              <w:bottom w:w="60" w:type="dxa"/>
              <w:right w:w="100" w:type="dxa"/>
            </w:tcMar>
            <w:vAlign w:val="center"/>
          </w:tcPr>
          <w:p w14:paraId="6366B90A" w14:textId="77777777" w:rsidR="00281B50" w:rsidRPr="00E975A7" w:rsidRDefault="00281B50" w:rsidP="00281B50">
            <w:pPr>
              <w:spacing w:after="20"/>
              <w:rPr>
                <w:rFonts w:ascii="Times New Roman" w:hAnsi="Times New Roman" w:cs="Times New Roman"/>
                <w:lang w:val="en-US"/>
              </w:rPr>
            </w:pPr>
            <w:r w:rsidRPr="00E975A7">
              <w:rPr>
                <w:rFonts w:ascii="Times New Roman" w:hAnsi="Times New Roman" w:cs="Times New Roman"/>
                <w:b/>
                <w:bCs/>
                <w:color w:val="1F3A5F"/>
                <w:lang w:val="en-US"/>
              </w:rPr>
              <w:t>Cash operations — 1</w:t>
            </w:r>
          </w:p>
          <w:p w14:paraId="2DE10B55" w14:textId="6DE0AE1F" w:rsidR="002F4636" w:rsidRPr="00E975A7" w:rsidRDefault="006C04B0" w:rsidP="00674AE4">
            <w:pPr>
              <w:jc w:val="both"/>
              <w:rPr>
                <w:rFonts w:ascii="Times New Roman" w:hAnsi="Times New Roman" w:cs="Times New Roman"/>
                <w:lang w:val="en-US"/>
              </w:rPr>
            </w:pPr>
            <w:r w:rsidRPr="00E975A7">
              <w:rPr>
                <w:rFonts w:ascii="Times New Roman" w:hAnsi="Times New Roman" w:cs="Times New Roman"/>
                <w:color w:val="333F50"/>
                <w:lang w:val="en-US"/>
              </w:rPr>
              <w:t>A customer inquired about the exchange procedure for banknotes bearing stamp marks, expressing concern over their validity.</w:t>
            </w:r>
          </w:p>
        </w:tc>
        <w:tc>
          <w:tcPr>
            <w:tcW w:w="200" w:type="dxa"/>
            <w:tcBorders>
              <w:top w:val="none" w:sz="0" w:space="0" w:color="FFFFFF"/>
              <w:left w:val="none" w:sz="0" w:space="0" w:color="FFFFFF"/>
              <w:bottom w:val="none" w:sz="0" w:space="0" w:color="FFFFFF"/>
              <w:right w:val="none" w:sz="0" w:space="0" w:color="FFFFFF"/>
            </w:tcBorders>
          </w:tcPr>
          <w:p w14:paraId="2D7C8D2D" w14:textId="77777777" w:rsidR="002F4636" w:rsidRPr="00E975A7" w:rsidRDefault="002F4636">
            <w:pPr>
              <w:rPr>
                <w:rFonts w:ascii="Times New Roman" w:hAnsi="Times New Roman" w:cs="Times New Roman"/>
                <w:lang w:val="en-US"/>
              </w:rPr>
            </w:pPr>
          </w:p>
        </w:tc>
        <w:tc>
          <w:tcPr>
            <w:tcW w:w="700" w:type="dxa"/>
            <w:tcBorders>
              <w:top w:val="none" w:sz="0" w:space="0" w:color="FFFFFF"/>
              <w:left w:val="none" w:sz="0" w:space="0" w:color="FFFFFF"/>
              <w:bottom w:val="none" w:sz="0" w:space="0" w:color="FFFFFF"/>
              <w:right w:val="none" w:sz="0" w:space="0" w:color="FFFFFF"/>
            </w:tcBorders>
            <w:shd w:val="clear" w:color="auto" w:fill="F7FAFD"/>
            <w:tcMar>
              <w:top w:w="60" w:type="dxa"/>
              <w:left w:w="60" w:type="dxa"/>
              <w:bottom w:w="60" w:type="dxa"/>
              <w:right w:w="0" w:type="dxa"/>
            </w:tcMar>
            <w:vAlign w:val="center"/>
          </w:tcPr>
          <w:p w14:paraId="1E40D443" w14:textId="77777777" w:rsidR="002F4636" w:rsidRPr="00E975A7" w:rsidRDefault="0096430D">
            <w:pPr>
              <w:rPr>
                <w:rFonts w:ascii="Times New Roman" w:hAnsi="Times New Roman" w:cs="Times New Roman"/>
              </w:rPr>
            </w:pPr>
            <w:r w:rsidRPr="00E975A7">
              <w:rPr>
                <w:rFonts w:ascii="Times New Roman" w:hAnsi="Times New Roman" w:cs="Times New Roman"/>
                <w:noProof/>
              </w:rPr>
              <w:drawing>
                <wp:inline distT="0" distB="0" distL="0" distR="0" wp14:anchorId="386B9F3F" wp14:editId="13C90EA1">
                  <wp:extent cx="342900" cy="342900"/>
                  <wp:effectExtent l="0" t="0" r="0" b="0"/>
                  <wp:docPr id="6" name="i_card.png" descr="icon" title="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342900" cy="342900"/>
                          </a:xfrm>
                          <a:prstGeom prst="rect">
                            <a:avLst/>
                          </a:prstGeom>
                        </pic:spPr>
                      </pic:pic>
                    </a:graphicData>
                  </a:graphic>
                </wp:inline>
              </w:drawing>
            </w:r>
          </w:p>
        </w:tc>
        <w:tc>
          <w:tcPr>
            <w:tcW w:w="4303" w:type="dxa"/>
            <w:tcBorders>
              <w:top w:val="none" w:sz="0" w:space="0" w:color="FFFFFF"/>
              <w:left w:val="none" w:sz="0" w:space="0" w:color="FFFFFF"/>
              <w:bottom w:val="none" w:sz="0" w:space="0" w:color="FFFFFF"/>
              <w:right w:val="none" w:sz="0" w:space="0" w:color="FFFFFF"/>
            </w:tcBorders>
            <w:shd w:val="clear" w:color="auto" w:fill="F7FAFD"/>
            <w:tcMar>
              <w:top w:w="60" w:type="dxa"/>
              <w:left w:w="80" w:type="dxa"/>
              <w:bottom w:w="60" w:type="dxa"/>
              <w:right w:w="100" w:type="dxa"/>
            </w:tcMar>
            <w:vAlign w:val="center"/>
          </w:tcPr>
          <w:p w14:paraId="381BCACF" w14:textId="0BF5B314" w:rsidR="002F4636" w:rsidRPr="00E975A7" w:rsidRDefault="002C106A">
            <w:pPr>
              <w:spacing w:after="20"/>
              <w:rPr>
                <w:rFonts w:ascii="Times New Roman" w:hAnsi="Times New Roman" w:cs="Times New Roman"/>
                <w:b/>
                <w:bCs/>
                <w:color w:val="1F3A5F"/>
                <w:lang w:val="en-US"/>
              </w:rPr>
            </w:pPr>
            <w:r w:rsidRPr="00E975A7">
              <w:rPr>
                <w:rFonts w:ascii="Times New Roman" w:hAnsi="Times New Roman" w:cs="Times New Roman"/>
                <w:b/>
                <w:bCs/>
                <w:color w:val="1F3A5F"/>
                <w:lang w:val="en-US"/>
              </w:rPr>
              <w:t>Bank Cards and POS Terminal Services</w:t>
            </w:r>
            <w:r w:rsidR="004D5AC7" w:rsidRPr="00E975A7">
              <w:rPr>
                <w:rFonts w:ascii="Times New Roman" w:hAnsi="Times New Roman" w:cs="Times New Roman"/>
                <w:b/>
                <w:bCs/>
                <w:color w:val="1F3A5F"/>
                <w:lang w:val="en-US"/>
              </w:rPr>
              <w:t xml:space="preserve"> — </w:t>
            </w:r>
            <w:r w:rsidRPr="00E975A7">
              <w:rPr>
                <w:rFonts w:ascii="Times New Roman" w:hAnsi="Times New Roman" w:cs="Times New Roman"/>
                <w:b/>
                <w:bCs/>
                <w:color w:val="1F3A5F"/>
                <w:lang w:val="en-US"/>
              </w:rPr>
              <w:t>8</w:t>
            </w:r>
          </w:p>
          <w:p w14:paraId="1D403115" w14:textId="7B863393" w:rsidR="002F4636" w:rsidRPr="00E975A7" w:rsidRDefault="00281B50" w:rsidP="002C106A">
            <w:pPr>
              <w:spacing w:after="70" w:line="265" w:lineRule="auto"/>
              <w:jc w:val="both"/>
              <w:rPr>
                <w:rFonts w:ascii="Times New Roman" w:hAnsi="Times New Roman" w:cs="Times New Roman"/>
                <w:color w:val="333F50"/>
                <w:lang w:val="en-US"/>
              </w:rPr>
            </w:pPr>
            <w:r w:rsidRPr="00E975A7">
              <w:rPr>
                <w:rFonts w:ascii="Times New Roman" w:hAnsi="Times New Roman" w:cs="Times New Roman"/>
                <w:color w:val="333F50"/>
                <w:lang w:val="en-US"/>
              </w:rPr>
              <w:t>These appeals mainly concerned objections related to payment transactions and card services, including mistaken transfers and reimbursement of funds, cash not dispensed by an ATM, unblocking and reissuance of cards, the application of service fees, and a request of a lawyer regarding a client’s card operations.</w:t>
            </w:r>
          </w:p>
        </w:tc>
      </w:tr>
      <w:tr w:rsidR="002F4636" w:rsidRPr="00674AE4" w14:paraId="1BCC6C42" w14:textId="77777777">
        <w:trPr>
          <w:trHeight w:hRule="exact" w:val="100"/>
        </w:trPr>
        <w:tc>
          <w:tcPr>
            <w:tcW w:w="700" w:type="dxa"/>
            <w:tcBorders>
              <w:top w:val="none" w:sz="0" w:space="0" w:color="FFFFFF"/>
              <w:left w:val="none" w:sz="0" w:space="0" w:color="FFFFFF"/>
              <w:bottom w:val="none" w:sz="0" w:space="0" w:color="FFFFFF"/>
              <w:right w:val="none" w:sz="0" w:space="0" w:color="FFFFFF"/>
            </w:tcBorders>
          </w:tcPr>
          <w:p w14:paraId="352BE504" w14:textId="77777777" w:rsidR="002F4636" w:rsidRPr="00E975A7" w:rsidRDefault="002F4636">
            <w:pPr>
              <w:rPr>
                <w:rFonts w:ascii="Times New Roman" w:hAnsi="Times New Roman" w:cs="Times New Roman"/>
                <w:lang w:val="en-US"/>
              </w:rPr>
            </w:pPr>
          </w:p>
        </w:tc>
        <w:tc>
          <w:tcPr>
            <w:tcW w:w="4303" w:type="dxa"/>
            <w:tcBorders>
              <w:top w:val="none" w:sz="0" w:space="0" w:color="FFFFFF"/>
              <w:left w:val="none" w:sz="0" w:space="0" w:color="FFFFFF"/>
              <w:bottom w:val="none" w:sz="0" w:space="0" w:color="FFFFFF"/>
              <w:right w:val="none" w:sz="0" w:space="0" w:color="FFFFFF"/>
            </w:tcBorders>
          </w:tcPr>
          <w:p w14:paraId="6FFD959B" w14:textId="77777777" w:rsidR="002F4636" w:rsidRPr="00E975A7" w:rsidRDefault="002F4636">
            <w:pPr>
              <w:rPr>
                <w:rFonts w:ascii="Times New Roman" w:hAnsi="Times New Roman" w:cs="Times New Roman"/>
                <w:lang w:val="en-US"/>
              </w:rPr>
            </w:pPr>
          </w:p>
        </w:tc>
        <w:tc>
          <w:tcPr>
            <w:tcW w:w="200" w:type="dxa"/>
            <w:tcBorders>
              <w:top w:val="none" w:sz="0" w:space="0" w:color="FFFFFF"/>
              <w:left w:val="none" w:sz="0" w:space="0" w:color="FFFFFF"/>
              <w:bottom w:val="none" w:sz="0" w:space="0" w:color="FFFFFF"/>
              <w:right w:val="none" w:sz="0" w:space="0" w:color="FFFFFF"/>
            </w:tcBorders>
          </w:tcPr>
          <w:p w14:paraId="6E613C43" w14:textId="77777777" w:rsidR="002F4636" w:rsidRPr="00E975A7" w:rsidRDefault="002F4636">
            <w:pPr>
              <w:rPr>
                <w:rFonts w:ascii="Times New Roman" w:hAnsi="Times New Roman" w:cs="Times New Roman"/>
                <w:lang w:val="en-US"/>
              </w:rPr>
            </w:pPr>
          </w:p>
        </w:tc>
        <w:tc>
          <w:tcPr>
            <w:tcW w:w="700" w:type="dxa"/>
            <w:tcBorders>
              <w:top w:val="none" w:sz="0" w:space="0" w:color="FFFFFF"/>
              <w:left w:val="none" w:sz="0" w:space="0" w:color="FFFFFF"/>
              <w:bottom w:val="none" w:sz="0" w:space="0" w:color="FFFFFF"/>
              <w:right w:val="none" w:sz="0" w:space="0" w:color="FFFFFF"/>
            </w:tcBorders>
          </w:tcPr>
          <w:p w14:paraId="2351D858" w14:textId="77777777" w:rsidR="002F4636" w:rsidRPr="00E975A7" w:rsidRDefault="002F4636">
            <w:pPr>
              <w:rPr>
                <w:rFonts w:ascii="Times New Roman" w:hAnsi="Times New Roman" w:cs="Times New Roman"/>
                <w:lang w:val="en-US"/>
              </w:rPr>
            </w:pPr>
          </w:p>
        </w:tc>
        <w:tc>
          <w:tcPr>
            <w:tcW w:w="4303" w:type="dxa"/>
            <w:tcBorders>
              <w:top w:val="none" w:sz="0" w:space="0" w:color="FFFFFF"/>
              <w:left w:val="none" w:sz="0" w:space="0" w:color="FFFFFF"/>
              <w:bottom w:val="none" w:sz="0" w:space="0" w:color="FFFFFF"/>
              <w:right w:val="none" w:sz="0" w:space="0" w:color="FFFFFF"/>
            </w:tcBorders>
          </w:tcPr>
          <w:p w14:paraId="15E56124" w14:textId="77777777" w:rsidR="002F4636" w:rsidRPr="00E975A7" w:rsidRDefault="002F4636">
            <w:pPr>
              <w:rPr>
                <w:rFonts w:ascii="Times New Roman" w:hAnsi="Times New Roman" w:cs="Times New Roman"/>
                <w:lang w:val="en-US"/>
              </w:rPr>
            </w:pPr>
          </w:p>
        </w:tc>
      </w:tr>
      <w:tr w:rsidR="002F4636" w:rsidRPr="00674AE4" w14:paraId="180E5F79" w14:textId="77777777">
        <w:trPr>
          <w:cantSplit/>
        </w:trPr>
        <w:tc>
          <w:tcPr>
            <w:tcW w:w="700" w:type="dxa"/>
            <w:tcBorders>
              <w:top w:val="none" w:sz="0" w:space="0" w:color="FFFFFF"/>
              <w:left w:val="none" w:sz="0" w:space="0" w:color="FFFFFF"/>
              <w:bottom w:val="none" w:sz="0" w:space="0" w:color="FFFFFF"/>
              <w:right w:val="none" w:sz="0" w:space="0" w:color="FFFFFF"/>
            </w:tcBorders>
            <w:shd w:val="clear" w:color="auto" w:fill="F7FAFD"/>
            <w:tcMar>
              <w:top w:w="60" w:type="dxa"/>
              <w:left w:w="60" w:type="dxa"/>
              <w:bottom w:w="60" w:type="dxa"/>
              <w:right w:w="0" w:type="dxa"/>
            </w:tcMar>
            <w:vAlign w:val="center"/>
          </w:tcPr>
          <w:p w14:paraId="0C61F313" w14:textId="77777777" w:rsidR="002F4636" w:rsidRPr="00E975A7" w:rsidRDefault="0096430D">
            <w:pPr>
              <w:rPr>
                <w:rFonts w:ascii="Times New Roman" w:hAnsi="Times New Roman" w:cs="Times New Roman"/>
              </w:rPr>
            </w:pPr>
            <w:r w:rsidRPr="00E975A7">
              <w:rPr>
                <w:rFonts w:ascii="Times New Roman" w:hAnsi="Times New Roman" w:cs="Times New Roman"/>
                <w:noProof/>
              </w:rPr>
              <w:drawing>
                <wp:inline distT="0" distB="0" distL="0" distR="0" wp14:anchorId="2342E8B1" wp14:editId="58E59C9A">
                  <wp:extent cx="342900" cy="342900"/>
                  <wp:effectExtent l="0" t="0" r="0" b="0"/>
                  <wp:docPr id="7" name="i_coin.png" descr="icon" title="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342900" cy="342900"/>
                          </a:xfrm>
                          <a:prstGeom prst="rect">
                            <a:avLst/>
                          </a:prstGeom>
                        </pic:spPr>
                      </pic:pic>
                    </a:graphicData>
                  </a:graphic>
                </wp:inline>
              </w:drawing>
            </w:r>
          </w:p>
        </w:tc>
        <w:tc>
          <w:tcPr>
            <w:tcW w:w="4303" w:type="dxa"/>
            <w:tcBorders>
              <w:top w:val="none" w:sz="0" w:space="0" w:color="FFFFFF"/>
              <w:left w:val="none" w:sz="0" w:space="0" w:color="FFFFFF"/>
              <w:bottom w:val="none" w:sz="0" w:space="0" w:color="FFFFFF"/>
              <w:right w:val="none" w:sz="0" w:space="0" w:color="FFFFFF"/>
            </w:tcBorders>
            <w:shd w:val="clear" w:color="auto" w:fill="F7FAFD"/>
            <w:tcMar>
              <w:top w:w="60" w:type="dxa"/>
              <w:left w:w="80" w:type="dxa"/>
              <w:bottom w:w="60" w:type="dxa"/>
              <w:right w:w="100" w:type="dxa"/>
            </w:tcMar>
            <w:vAlign w:val="center"/>
          </w:tcPr>
          <w:p w14:paraId="24B6E43D" w14:textId="6290FECE" w:rsidR="002F4636" w:rsidRPr="00E975A7" w:rsidRDefault="002C106A">
            <w:pPr>
              <w:spacing w:after="20"/>
              <w:rPr>
                <w:rFonts w:ascii="Times New Roman" w:hAnsi="Times New Roman" w:cs="Times New Roman"/>
                <w:lang w:val="en-US"/>
              </w:rPr>
            </w:pPr>
            <w:r w:rsidRPr="00E975A7">
              <w:rPr>
                <w:rFonts w:ascii="Times New Roman" w:hAnsi="Times New Roman" w:cs="Times New Roman"/>
                <w:b/>
                <w:bCs/>
                <w:color w:val="1F3A5F"/>
                <w:lang w:val="en-US"/>
              </w:rPr>
              <w:t xml:space="preserve">Loans and Credit Operations </w:t>
            </w:r>
            <w:r w:rsidR="0096430D" w:rsidRPr="00E975A7">
              <w:rPr>
                <w:rFonts w:ascii="Times New Roman" w:hAnsi="Times New Roman" w:cs="Times New Roman"/>
                <w:b/>
                <w:bCs/>
                <w:color w:val="1F3A5F"/>
                <w:lang w:val="en-US"/>
              </w:rPr>
              <w:t>— 4</w:t>
            </w:r>
          </w:p>
          <w:p w14:paraId="4ADD77FD" w14:textId="77777777" w:rsidR="00281B50" w:rsidRPr="00E975A7" w:rsidRDefault="00281B50" w:rsidP="00281B50">
            <w:pPr>
              <w:spacing w:after="70" w:line="265" w:lineRule="auto"/>
              <w:jc w:val="both"/>
              <w:rPr>
                <w:rFonts w:ascii="Times New Roman" w:hAnsi="Times New Roman" w:cs="Times New Roman"/>
                <w:color w:val="333F50"/>
                <w:lang w:val="en-US"/>
              </w:rPr>
            </w:pPr>
            <w:r w:rsidRPr="00E975A7">
              <w:rPr>
                <w:rFonts w:ascii="Times New Roman" w:hAnsi="Times New Roman" w:cs="Times New Roman"/>
                <w:color w:val="333F50"/>
                <w:lang w:val="en-US"/>
              </w:rPr>
              <w:t>Appeals in this category concerned requests to increase a credit limit and to provide working-capital financing (including repeated appeals from one legal entity), as well as requests for clarification of microloan terms.</w:t>
            </w:r>
          </w:p>
          <w:p w14:paraId="175EC4D1" w14:textId="75CCBF8D" w:rsidR="002F4636" w:rsidRPr="00E975A7" w:rsidRDefault="002F4636">
            <w:pPr>
              <w:rPr>
                <w:rFonts w:ascii="Times New Roman" w:hAnsi="Times New Roman" w:cs="Times New Roman"/>
                <w:lang w:val="en-US"/>
              </w:rPr>
            </w:pPr>
          </w:p>
        </w:tc>
        <w:tc>
          <w:tcPr>
            <w:tcW w:w="200" w:type="dxa"/>
            <w:tcBorders>
              <w:top w:val="none" w:sz="0" w:space="0" w:color="FFFFFF"/>
              <w:left w:val="none" w:sz="0" w:space="0" w:color="FFFFFF"/>
              <w:bottom w:val="none" w:sz="0" w:space="0" w:color="FFFFFF"/>
              <w:right w:val="none" w:sz="0" w:space="0" w:color="FFFFFF"/>
            </w:tcBorders>
          </w:tcPr>
          <w:p w14:paraId="29B1326F" w14:textId="77777777" w:rsidR="002F4636" w:rsidRPr="00E975A7" w:rsidRDefault="002F4636">
            <w:pPr>
              <w:rPr>
                <w:rFonts w:ascii="Times New Roman" w:hAnsi="Times New Roman" w:cs="Times New Roman"/>
                <w:lang w:val="en-US"/>
              </w:rPr>
            </w:pPr>
          </w:p>
        </w:tc>
        <w:tc>
          <w:tcPr>
            <w:tcW w:w="700" w:type="dxa"/>
            <w:tcBorders>
              <w:top w:val="none" w:sz="0" w:space="0" w:color="FFFFFF"/>
              <w:left w:val="none" w:sz="0" w:space="0" w:color="FFFFFF"/>
              <w:bottom w:val="none" w:sz="0" w:space="0" w:color="FFFFFF"/>
              <w:right w:val="none" w:sz="0" w:space="0" w:color="FFFFFF"/>
            </w:tcBorders>
            <w:shd w:val="clear" w:color="auto" w:fill="F7FAFD"/>
            <w:tcMar>
              <w:top w:w="60" w:type="dxa"/>
              <w:left w:w="60" w:type="dxa"/>
              <w:bottom w:w="60" w:type="dxa"/>
              <w:right w:w="0" w:type="dxa"/>
            </w:tcMar>
            <w:vAlign w:val="center"/>
          </w:tcPr>
          <w:p w14:paraId="0DE8A21F" w14:textId="77777777" w:rsidR="002F4636" w:rsidRPr="00E975A7" w:rsidRDefault="0096430D">
            <w:pPr>
              <w:rPr>
                <w:rFonts w:ascii="Times New Roman" w:hAnsi="Times New Roman" w:cs="Times New Roman"/>
              </w:rPr>
            </w:pPr>
            <w:r w:rsidRPr="00E975A7">
              <w:rPr>
                <w:rFonts w:ascii="Times New Roman" w:hAnsi="Times New Roman" w:cs="Times New Roman"/>
                <w:noProof/>
              </w:rPr>
              <w:drawing>
                <wp:inline distT="0" distB="0" distL="0" distR="0" wp14:anchorId="7BB592AA" wp14:editId="7FC871F9">
                  <wp:extent cx="342900" cy="342900"/>
                  <wp:effectExtent l="0" t="0" r="0" b="0"/>
                  <wp:docPr id="8" name="i_dollar.png" descr="icon" title="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342900" cy="342900"/>
                          </a:xfrm>
                          <a:prstGeom prst="rect">
                            <a:avLst/>
                          </a:prstGeom>
                        </pic:spPr>
                      </pic:pic>
                    </a:graphicData>
                  </a:graphic>
                </wp:inline>
              </w:drawing>
            </w:r>
          </w:p>
        </w:tc>
        <w:tc>
          <w:tcPr>
            <w:tcW w:w="4303" w:type="dxa"/>
            <w:tcBorders>
              <w:top w:val="none" w:sz="0" w:space="0" w:color="FFFFFF"/>
              <w:left w:val="none" w:sz="0" w:space="0" w:color="FFFFFF"/>
              <w:bottom w:val="none" w:sz="0" w:space="0" w:color="FFFFFF"/>
              <w:right w:val="none" w:sz="0" w:space="0" w:color="FFFFFF"/>
            </w:tcBorders>
            <w:shd w:val="clear" w:color="auto" w:fill="F7FAFD"/>
            <w:tcMar>
              <w:top w:w="60" w:type="dxa"/>
              <w:left w:w="80" w:type="dxa"/>
              <w:bottom w:w="60" w:type="dxa"/>
              <w:right w:w="100" w:type="dxa"/>
            </w:tcMar>
            <w:vAlign w:val="center"/>
          </w:tcPr>
          <w:p w14:paraId="30A031EA" w14:textId="663783F1" w:rsidR="002F4636" w:rsidRPr="00E975A7" w:rsidRDefault="002C106A">
            <w:pPr>
              <w:spacing w:after="20"/>
              <w:rPr>
                <w:rFonts w:ascii="Times New Roman" w:hAnsi="Times New Roman" w:cs="Times New Roman"/>
                <w:b/>
                <w:bCs/>
                <w:color w:val="1F3A5F"/>
                <w:lang w:val="en-US"/>
              </w:rPr>
            </w:pPr>
            <w:r w:rsidRPr="00E975A7">
              <w:rPr>
                <w:rFonts w:ascii="Times New Roman" w:hAnsi="Times New Roman" w:cs="Times New Roman"/>
                <w:b/>
                <w:bCs/>
                <w:color w:val="1F3A5F"/>
                <w:lang w:val="en-US"/>
              </w:rPr>
              <w:t xml:space="preserve">Foreign Exchange Regulation &amp; Control </w:t>
            </w:r>
            <w:r w:rsidR="0096430D" w:rsidRPr="00E975A7">
              <w:rPr>
                <w:rFonts w:ascii="Times New Roman" w:hAnsi="Times New Roman" w:cs="Times New Roman"/>
                <w:b/>
                <w:bCs/>
                <w:color w:val="1F3A5F"/>
                <w:lang w:val="en-US"/>
              </w:rPr>
              <w:t>— 3</w:t>
            </w:r>
          </w:p>
          <w:p w14:paraId="0CA7AFC2" w14:textId="66759559" w:rsidR="002F4636" w:rsidRPr="00E975A7" w:rsidRDefault="002C106A" w:rsidP="00674AE4">
            <w:pPr>
              <w:spacing w:after="20"/>
              <w:jc w:val="both"/>
              <w:rPr>
                <w:rFonts w:ascii="Times New Roman" w:hAnsi="Times New Roman" w:cs="Times New Roman"/>
                <w:color w:val="333F50"/>
                <w:lang w:val="en-US"/>
              </w:rPr>
            </w:pPr>
            <w:r w:rsidRPr="00E975A7">
              <w:rPr>
                <w:rFonts w:ascii="Times New Roman" w:hAnsi="Times New Roman" w:cs="Times New Roman"/>
                <w:color w:val="333F50"/>
                <w:lang w:val="en-US"/>
              </w:rPr>
              <w:t>The appeals addressed matters related to foreign economic activity, including the refusal to execute foreign currency payments under foreign trade contracts, the write-off of liabilities under foreign trade contracts and their removal from foreign exchange control in the E-contract system.</w:t>
            </w:r>
          </w:p>
        </w:tc>
      </w:tr>
      <w:tr w:rsidR="002F4636" w:rsidRPr="00674AE4" w14:paraId="1697AF68" w14:textId="77777777">
        <w:trPr>
          <w:trHeight w:hRule="exact" w:val="100"/>
        </w:trPr>
        <w:tc>
          <w:tcPr>
            <w:tcW w:w="700" w:type="dxa"/>
            <w:tcBorders>
              <w:top w:val="none" w:sz="0" w:space="0" w:color="FFFFFF"/>
              <w:left w:val="none" w:sz="0" w:space="0" w:color="FFFFFF"/>
              <w:bottom w:val="none" w:sz="0" w:space="0" w:color="FFFFFF"/>
              <w:right w:val="none" w:sz="0" w:space="0" w:color="FFFFFF"/>
            </w:tcBorders>
          </w:tcPr>
          <w:p w14:paraId="7A716F0F" w14:textId="77777777" w:rsidR="002F4636" w:rsidRPr="00E975A7" w:rsidRDefault="002F4636">
            <w:pPr>
              <w:rPr>
                <w:rFonts w:ascii="Times New Roman" w:hAnsi="Times New Roman" w:cs="Times New Roman"/>
                <w:lang w:val="en-US"/>
              </w:rPr>
            </w:pPr>
          </w:p>
        </w:tc>
        <w:tc>
          <w:tcPr>
            <w:tcW w:w="4303" w:type="dxa"/>
            <w:tcBorders>
              <w:top w:val="none" w:sz="0" w:space="0" w:color="FFFFFF"/>
              <w:left w:val="none" w:sz="0" w:space="0" w:color="FFFFFF"/>
              <w:bottom w:val="none" w:sz="0" w:space="0" w:color="FFFFFF"/>
              <w:right w:val="none" w:sz="0" w:space="0" w:color="FFFFFF"/>
            </w:tcBorders>
          </w:tcPr>
          <w:p w14:paraId="6CBE84F0" w14:textId="77777777" w:rsidR="002F4636" w:rsidRPr="00E975A7" w:rsidRDefault="002F4636">
            <w:pPr>
              <w:rPr>
                <w:rFonts w:ascii="Times New Roman" w:hAnsi="Times New Roman" w:cs="Times New Roman"/>
                <w:lang w:val="en-US"/>
              </w:rPr>
            </w:pPr>
          </w:p>
        </w:tc>
        <w:tc>
          <w:tcPr>
            <w:tcW w:w="200" w:type="dxa"/>
            <w:tcBorders>
              <w:top w:val="none" w:sz="0" w:space="0" w:color="FFFFFF"/>
              <w:left w:val="none" w:sz="0" w:space="0" w:color="FFFFFF"/>
              <w:bottom w:val="none" w:sz="0" w:space="0" w:color="FFFFFF"/>
              <w:right w:val="none" w:sz="0" w:space="0" w:color="FFFFFF"/>
            </w:tcBorders>
          </w:tcPr>
          <w:p w14:paraId="63FEDA01" w14:textId="77777777" w:rsidR="002F4636" w:rsidRPr="00E975A7" w:rsidRDefault="002F4636">
            <w:pPr>
              <w:rPr>
                <w:rFonts w:ascii="Times New Roman" w:hAnsi="Times New Roman" w:cs="Times New Roman"/>
                <w:lang w:val="en-US"/>
              </w:rPr>
            </w:pPr>
          </w:p>
        </w:tc>
        <w:tc>
          <w:tcPr>
            <w:tcW w:w="700" w:type="dxa"/>
            <w:tcBorders>
              <w:top w:val="none" w:sz="0" w:space="0" w:color="FFFFFF"/>
              <w:left w:val="none" w:sz="0" w:space="0" w:color="FFFFFF"/>
              <w:bottom w:val="none" w:sz="0" w:space="0" w:color="FFFFFF"/>
              <w:right w:val="none" w:sz="0" w:space="0" w:color="FFFFFF"/>
            </w:tcBorders>
          </w:tcPr>
          <w:p w14:paraId="42FE4B14" w14:textId="77777777" w:rsidR="002F4636" w:rsidRPr="00E975A7" w:rsidRDefault="002F4636">
            <w:pPr>
              <w:rPr>
                <w:rFonts w:ascii="Times New Roman" w:hAnsi="Times New Roman" w:cs="Times New Roman"/>
                <w:lang w:val="en-US"/>
              </w:rPr>
            </w:pPr>
          </w:p>
        </w:tc>
        <w:tc>
          <w:tcPr>
            <w:tcW w:w="4303" w:type="dxa"/>
            <w:tcBorders>
              <w:top w:val="none" w:sz="0" w:space="0" w:color="FFFFFF"/>
              <w:left w:val="none" w:sz="0" w:space="0" w:color="FFFFFF"/>
              <w:bottom w:val="none" w:sz="0" w:space="0" w:color="FFFFFF"/>
              <w:right w:val="none" w:sz="0" w:space="0" w:color="FFFFFF"/>
            </w:tcBorders>
          </w:tcPr>
          <w:p w14:paraId="30931BA1" w14:textId="77777777" w:rsidR="002F4636" w:rsidRPr="00E975A7" w:rsidRDefault="002F4636">
            <w:pPr>
              <w:rPr>
                <w:rFonts w:ascii="Times New Roman" w:hAnsi="Times New Roman" w:cs="Times New Roman"/>
                <w:lang w:val="en-US"/>
              </w:rPr>
            </w:pPr>
          </w:p>
        </w:tc>
      </w:tr>
      <w:tr w:rsidR="002F4636" w:rsidRPr="00674AE4" w14:paraId="7F465AF0" w14:textId="77777777">
        <w:trPr>
          <w:cantSplit/>
        </w:trPr>
        <w:tc>
          <w:tcPr>
            <w:tcW w:w="700" w:type="dxa"/>
            <w:tcBorders>
              <w:top w:val="none" w:sz="0" w:space="0" w:color="FFFFFF"/>
              <w:left w:val="none" w:sz="0" w:space="0" w:color="FFFFFF"/>
              <w:bottom w:val="none" w:sz="0" w:space="0" w:color="FFFFFF"/>
              <w:right w:val="none" w:sz="0" w:space="0" w:color="FFFFFF"/>
            </w:tcBorders>
            <w:shd w:val="clear" w:color="auto" w:fill="F7FAFD"/>
            <w:tcMar>
              <w:top w:w="60" w:type="dxa"/>
              <w:left w:w="60" w:type="dxa"/>
              <w:bottom w:w="60" w:type="dxa"/>
              <w:right w:w="0" w:type="dxa"/>
            </w:tcMar>
            <w:vAlign w:val="center"/>
          </w:tcPr>
          <w:p w14:paraId="5430D9EF" w14:textId="77777777" w:rsidR="002F4636" w:rsidRPr="00E975A7" w:rsidRDefault="0096430D">
            <w:pPr>
              <w:rPr>
                <w:rFonts w:ascii="Times New Roman" w:hAnsi="Times New Roman" w:cs="Times New Roman"/>
              </w:rPr>
            </w:pPr>
            <w:r w:rsidRPr="00E975A7">
              <w:rPr>
                <w:rFonts w:ascii="Times New Roman" w:hAnsi="Times New Roman" w:cs="Times New Roman"/>
                <w:noProof/>
              </w:rPr>
              <w:drawing>
                <wp:inline distT="0" distB="0" distL="0" distR="0" wp14:anchorId="47C96527" wp14:editId="143A6136">
                  <wp:extent cx="342900" cy="342900"/>
                  <wp:effectExtent l="0" t="0" r="0" b="0"/>
                  <wp:docPr id="9" name="i_phone.png" descr="icon" title="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342900" cy="342900"/>
                          </a:xfrm>
                          <a:prstGeom prst="rect">
                            <a:avLst/>
                          </a:prstGeom>
                        </pic:spPr>
                      </pic:pic>
                    </a:graphicData>
                  </a:graphic>
                </wp:inline>
              </w:drawing>
            </w:r>
          </w:p>
        </w:tc>
        <w:tc>
          <w:tcPr>
            <w:tcW w:w="4303" w:type="dxa"/>
            <w:tcBorders>
              <w:top w:val="none" w:sz="0" w:space="0" w:color="FFFFFF"/>
              <w:left w:val="none" w:sz="0" w:space="0" w:color="FFFFFF"/>
              <w:bottom w:val="none" w:sz="0" w:space="0" w:color="FFFFFF"/>
              <w:right w:val="none" w:sz="0" w:space="0" w:color="FFFFFF"/>
            </w:tcBorders>
            <w:shd w:val="clear" w:color="auto" w:fill="F7FAFD"/>
            <w:tcMar>
              <w:top w:w="60" w:type="dxa"/>
              <w:left w:w="80" w:type="dxa"/>
              <w:bottom w:w="60" w:type="dxa"/>
              <w:right w:w="100" w:type="dxa"/>
            </w:tcMar>
            <w:vAlign w:val="center"/>
          </w:tcPr>
          <w:p w14:paraId="712585A8" w14:textId="1B5EDF7A" w:rsidR="002F4636" w:rsidRPr="00E975A7" w:rsidRDefault="002C106A">
            <w:pPr>
              <w:spacing w:after="20"/>
              <w:rPr>
                <w:rFonts w:ascii="Times New Roman" w:hAnsi="Times New Roman" w:cs="Times New Roman"/>
                <w:b/>
                <w:bCs/>
                <w:color w:val="1F3A5F"/>
                <w:lang w:val="en-US"/>
              </w:rPr>
            </w:pPr>
            <w:r w:rsidRPr="00E975A7">
              <w:rPr>
                <w:rFonts w:ascii="Times New Roman" w:hAnsi="Times New Roman" w:cs="Times New Roman"/>
                <w:b/>
                <w:bCs/>
                <w:color w:val="1F3A5F"/>
                <w:lang w:val="en-US"/>
              </w:rPr>
              <w:t xml:space="preserve">Bank Information Technology and Communications </w:t>
            </w:r>
            <w:r w:rsidR="004D5AC7" w:rsidRPr="00E975A7">
              <w:rPr>
                <w:rFonts w:ascii="Times New Roman" w:hAnsi="Times New Roman" w:cs="Times New Roman"/>
                <w:b/>
                <w:bCs/>
                <w:color w:val="1F3A5F"/>
                <w:lang w:val="en-US"/>
              </w:rPr>
              <w:t>—</w:t>
            </w:r>
            <w:r w:rsidRPr="00E975A7">
              <w:rPr>
                <w:rFonts w:ascii="Times New Roman" w:hAnsi="Times New Roman" w:cs="Times New Roman"/>
                <w:b/>
                <w:bCs/>
                <w:color w:val="1F3A5F"/>
                <w:lang w:val="en-US"/>
              </w:rPr>
              <w:t xml:space="preserve"> </w:t>
            </w:r>
            <w:r w:rsidR="0096430D" w:rsidRPr="00E975A7">
              <w:rPr>
                <w:rFonts w:ascii="Times New Roman" w:hAnsi="Times New Roman" w:cs="Times New Roman"/>
                <w:b/>
                <w:bCs/>
                <w:color w:val="1F3A5F"/>
                <w:lang w:val="en-US"/>
              </w:rPr>
              <w:t>2</w:t>
            </w:r>
          </w:p>
          <w:p w14:paraId="799EFDC3" w14:textId="77777777" w:rsidR="002C106A" w:rsidRPr="00E975A7" w:rsidRDefault="002C106A" w:rsidP="002C106A">
            <w:pPr>
              <w:spacing w:after="70" w:line="265" w:lineRule="auto"/>
              <w:jc w:val="both"/>
              <w:rPr>
                <w:rFonts w:ascii="Times New Roman" w:hAnsi="Times New Roman" w:cs="Times New Roman"/>
                <w:color w:val="333F50"/>
                <w:lang w:val="en-US"/>
              </w:rPr>
            </w:pPr>
            <w:r w:rsidRPr="00E975A7">
              <w:rPr>
                <w:rFonts w:ascii="Times New Roman" w:hAnsi="Times New Roman" w:cs="Times New Roman"/>
                <w:color w:val="333F50"/>
                <w:lang w:val="en-US"/>
              </w:rPr>
              <w:t>The appeals raised concerns regarding the active session time in internet banking and the security restrictions applied in the mobile application.</w:t>
            </w:r>
          </w:p>
          <w:p w14:paraId="47856415" w14:textId="3CDC0CFB" w:rsidR="002F4636" w:rsidRPr="00E975A7" w:rsidRDefault="002F4636">
            <w:pPr>
              <w:rPr>
                <w:rFonts w:ascii="Times New Roman" w:hAnsi="Times New Roman" w:cs="Times New Roman"/>
                <w:lang w:val="en-US"/>
              </w:rPr>
            </w:pPr>
          </w:p>
        </w:tc>
        <w:tc>
          <w:tcPr>
            <w:tcW w:w="200" w:type="dxa"/>
            <w:tcBorders>
              <w:top w:val="none" w:sz="0" w:space="0" w:color="FFFFFF"/>
              <w:left w:val="none" w:sz="0" w:space="0" w:color="FFFFFF"/>
              <w:bottom w:val="none" w:sz="0" w:space="0" w:color="FFFFFF"/>
              <w:right w:val="none" w:sz="0" w:space="0" w:color="FFFFFF"/>
            </w:tcBorders>
          </w:tcPr>
          <w:p w14:paraId="635D62C0" w14:textId="77777777" w:rsidR="002F4636" w:rsidRPr="00E975A7" w:rsidRDefault="002F4636">
            <w:pPr>
              <w:rPr>
                <w:rFonts w:ascii="Times New Roman" w:hAnsi="Times New Roman" w:cs="Times New Roman"/>
                <w:lang w:val="en-US"/>
              </w:rPr>
            </w:pPr>
          </w:p>
        </w:tc>
        <w:tc>
          <w:tcPr>
            <w:tcW w:w="700" w:type="dxa"/>
            <w:tcBorders>
              <w:top w:val="none" w:sz="0" w:space="0" w:color="FFFFFF"/>
              <w:left w:val="none" w:sz="0" w:space="0" w:color="FFFFFF"/>
              <w:bottom w:val="none" w:sz="0" w:space="0" w:color="FFFFFF"/>
              <w:right w:val="none" w:sz="0" w:space="0" w:color="FFFFFF"/>
            </w:tcBorders>
            <w:shd w:val="clear" w:color="auto" w:fill="F7FAFD"/>
            <w:tcMar>
              <w:top w:w="60" w:type="dxa"/>
              <w:left w:w="60" w:type="dxa"/>
              <w:bottom w:w="60" w:type="dxa"/>
              <w:right w:w="0" w:type="dxa"/>
            </w:tcMar>
            <w:vAlign w:val="center"/>
          </w:tcPr>
          <w:p w14:paraId="10A259E3" w14:textId="782275F0" w:rsidR="002F4636" w:rsidRPr="00E975A7" w:rsidRDefault="00281B50">
            <w:pPr>
              <w:rPr>
                <w:rFonts w:ascii="Times New Roman" w:hAnsi="Times New Roman" w:cs="Times New Roman"/>
              </w:rPr>
            </w:pPr>
            <w:r w:rsidRPr="00E975A7">
              <w:rPr>
                <w:rFonts w:ascii="Times New Roman" w:hAnsi="Times New Roman" w:cs="Times New Roman"/>
                <w:noProof/>
              </w:rPr>
              <w:drawing>
                <wp:inline distT="0" distB="0" distL="0" distR="0" wp14:anchorId="5D138114" wp14:editId="504BD713">
                  <wp:extent cx="342900" cy="342900"/>
                  <wp:effectExtent l="0" t="0" r="0" b="0"/>
                  <wp:docPr id="5" name="i_doc.png" descr="icon" title="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342900" cy="342900"/>
                          </a:xfrm>
                          <a:prstGeom prst="rect">
                            <a:avLst/>
                          </a:prstGeom>
                        </pic:spPr>
                      </pic:pic>
                    </a:graphicData>
                  </a:graphic>
                </wp:inline>
              </w:drawing>
            </w:r>
          </w:p>
        </w:tc>
        <w:tc>
          <w:tcPr>
            <w:tcW w:w="4303" w:type="dxa"/>
            <w:tcBorders>
              <w:top w:val="none" w:sz="0" w:space="0" w:color="FFFFFF"/>
              <w:left w:val="none" w:sz="0" w:space="0" w:color="FFFFFF"/>
              <w:bottom w:val="none" w:sz="0" w:space="0" w:color="FFFFFF"/>
              <w:right w:val="none" w:sz="0" w:space="0" w:color="FFFFFF"/>
            </w:tcBorders>
            <w:shd w:val="clear" w:color="auto" w:fill="F7FAFD"/>
            <w:tcMar>
              <w:top w:w="60" w:type="dxa"/>
              <w:left w:w="80" w:type="dxa"/>
              <w:bottom w:w="60" w:type="dxa"/>
              <w:right w:w="100" w:type="dxa"/>
            </w:tcMar>
            <w:vAlign w:val="center"/>
          </w:tcPr>
          <w:p w14:paraId="2BC0C4C7" w14:textId="5B86176D" w:rsidR="00281B50" w:rsidRPr="00E975A7" w:rsidRDefault="002C106A" w:rsidP="00281B50">
            <w:pPr>
              <w:spacing w:after="20"/>
              <w:rPr>
                <w:rFonts w:ascii="Times New Roman" w:hAnsi="Times New Roman" w:cs="Times New Roman"/>
                <w:b/>
                <w:bCs/>
                <w:color w:val="1F3A5F"/>
                <w:lang w:val="en-US"/>
              </w:rPr>
            </w:pPr>
            <w:r w:rsidRPr="00E975A7">
              <w:rPr>
                <w:rFonts w:ascii="Times New Roman" w:hAnsi="Times New Roman" w:cs="Times New Roman"/>
                <w:b/>
                <w:bCs/>
                <w:color w:val="1F3A5F"/>
                <w:lang w:val="en-US"/>
              </w:rPr>
              <w:t xml:space="preserve">Other Matters </w:t>
            </w:r>
            <w:r w:rsidR="00281B50" w:rsidRPr="00E975A7">
              <w:rPr>
                <w:rFonts w:ascii="Times New Roman" w:hAnsi="Times New Roman" w:cs="Times New Roman"/>
                <w:b/>
                <w:bCs/>
                <w:color w:val="1F3A5F"/>
                <w:lang w:val="en-US"/>
              </w:rPr>
              <w:t>— 28</w:t>
            </w:r>
          </w:p>
          <w:p w14:paraId="3CED864F" w14:textId="0CA25AD1" w:rsidR="00206CD2" w:rsidRPr="00E975A7" w:rsidRDefault="002C106A" w:rsidP="002C106A">
            <w:pPr>
              <w:spacing w:after="70" w:line="265" w:lineRule="auto"/>
              <w:jc w:val="both"/>
              <w:rPr>
                <w:rFonts w:ascii="Times New Roman" w:hAnsi="Times New Roman" w:cs="Times New Roman"/>
                <w:color w:val="333F50"/>
                <w:lang w:val="en-US"/>
              </w:rPr>
            </w:pPr>
            <w:r w:rsidRPr="00E975A7">
              <w:rPr>
                <w:rFonts w:ascii="Times New Roman" w:hAnsi="Times New Roman" w:cs="Times New Roman"/>
                <w:color w:val="333F50"/>
                <w:lang w:val="en-US"/>
              </w:rPr>
              <w:t>The appeals primarily involved requests for information on the existence of bank accounts, deposits, payment cards and loans of a person, including inheritance-related inquiries; information requests of law-enforcement authorities and related matters of bank secrecy; clarifications concerning mobile services and fraud-prevention requirements; a general proposal for the banking sector; as well as other matters of a general nature.</w:t>
            </w:r>
          </w:p>
        </w:tc>
      </w:tr>
    </w:tbl>
    <w:p w14:paraId="45A2CEA0" w14:textId="6D4DE7B5" w:rsidR="002F4636" w:rsidRPr="00E975A7" w:rsidRDefault="0096430D">
      <w:pPr>
        <w:keepNext/>
        <w:pBdr>
          <w:left w:val="single" w:sz="36" w:space="8" w:color="E9B44C"/>
        </w:pBdr>
        <w:spacing w:before="160" w:after="80"/>
        <w:rPr>
          <w:rFonts w:ascii="Times New Roman" w:hAnsi="Times New Roman" w:cs="Times New Roman"/>
          <w:lang w:val="en-US"/>
        </w:rPr>
      </w:pPr>
      <w:r w:rsidRPr="00E975A7">
        <w:rPr>
          <w:rFonts w:ascii="Times New Roman" w:hAnsi="Times New Roman" w:cs="Times New Roman"/>
          <w:b/>
          <w:bCs/>
          <w:i/>
          <w:iCs/>
          <w:color w:val="1F3A5F"/>
          <w:lang w:val="en-US"/>
        </w:rPr>
        <w:t>Conformity of Services to Consumer Needs and Fair Treatment</w:t>
      </w:r>
    </w:p>
    <w:tbl>
      <w:tblPr>
        <w:tblW w:w="8506" w:type="dxa"/>
        <w:tblInd w:w="1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1700"/>
        <w:gridCol w:w="3406"/>
        <w:gridCol w:w="1700"/>
      </w:tblGrid>
      <w:tr w:rsidR="00E8580F" w:rsidRPr="0098110E" w14:paraId="4DE27504" w14:textId="77777777" w:rsidTr="00206CD2">
        <w:tc>
          <w:tcPr>
            <w:tcW w:w="1700" w:type="dxa"/>
            <w:tcBorders>
              <w:top w:val="single" w:sz="18" w:space="0" w:color="2A9D8F"/>
              <w:left w:val="single" w:sz="12" w:space="0" w:color="FFFFFF"/>
              <w:bottom w:val="none" w:sz="0" w:space="0" w:color="FFFFFF"/>
              <w:right w:val="single" w:sz="12" w:space="0" w:color="FFFFFF"/>
            </w:tcBorders>
            <w:shd w:val="clear" w:color="auto" w:fill="EAF1F8"/>
            <w:tcMar>
              <w:top w:w="50" w:type="dxa"/>
              <w:left w:w="50" w:type="dxa"/>
              <w:bottom w:w="50" w:type="dxa"/>
              <w:right w:w="50" w:type="dxa"/>
            </w:tcMar>
            <w:vAlign w:val="center"/>
          </w:tcPr>
          <w:p w14:paraId="11DD9A4F" w14:textId="17BB4914" w:rsidR="00E8580F" w:rsidRPr="00E975A7" w:rsidRDefault="00E8580F">
            <w:pPr>
              <w:jc w:val="center"/>
              <w:rPr>
                <w:rFonts w:ascii="Times New Roman" w:hAnsi="Times New Roman" w:cs="Times New Roman"/>
                <w:lang w:val="en-US"/>
              </w:rPr>
            </w:pPr>
            <w:r w:rsidRPr="00E975A7">
              <w:rPr>
                <w:rFonts w:ascii="Times New Roman" w:hAnsi="Times New Roman" w:cs="Times New Roman"/>
                <w:b/>
                <w:bCs/>
                <w:color w:val="1F3A5F"/>
              </w:rPr>
              <w:t>4</w:t>
            </w:r>
            <w:r w:rsidRPr="00E975A7">
              <w:rPr>
                <w:rFonts w:ascii="Times New Roman" w:hAnsi="Times New Roman" w:cs="Times New Roman"/>
                <w:b/>
                <w:bCs/>
                <w:color w:val="1F3A5F"/>
                <w:lang w:val="en-US"/>
              </w:rPr>
              <w:t>6</w:t>
            </w:r>
          </w:p>
          <w:p w14:paraId="7D75756E" w14:textId="2E713F83" w:rsidR="00E8580F" w:rsidRPr="00E975A7" w:rsidRDefault="00E8580F" w:rsidP="00E8580F">
            <w:pPr>
              <w:spacing w:after="20"/>
              <w:jc w:val="center"/>
              <w:rPr>
                <w:rFonts w:ascii="Times New Roman" w:hAnsi="Times New Roman" w:cs="Times New Roman"/>
              </w:rPr>
            </w:pPr>
            <w:r w:rsidRPr="00E975A7">
              <w:rPr>
                <w:rFonts w:ascii="Times New Roman" w:hAnsi="Times New Roman" w:cs="Times New Roman"/>
                <w:b/>
                <w:bCs/>
                <w:color w:val="5B6B7F"/>
              </w:rPr>
              <w:t>Total appeals</w:t>
            </w:r>
          </w:p>
        </w:tc>
        <w:tc>
          <w:tcPr>
            <w:tcW w:w="1700" w:type="dxa"/>
            <w:tcBorders>
              <w:top w:val="single" w:sz="18" w:space="0" w:color="E9B44C"/>
              <w:left w:val="single" w:sz="12" w:space="0" w:color="FFFFFF"/>
              <w:bottom w:val="none" w:sz="0" w:space="0" w:color="FFFFFF"/>
              <w:right w:val="single" w:sz="12" w:space="0" w:color="FFFFFF"/>
            </w:tcBorders>
            <w:shd w:val="clear" w:color="auto" w:fill="EAF1F8"/>
            <w:tcMar>
              <w:top w:w="50" w:type="dxa"/>
              <w:left w:w="50" w:type="dxa"/>
              <w:bottom w:w="50" w:type="dxa"/>
              <w:right w:w="50" w:type="dxa"/>
            </w:tcMar>
            <w:vAlign w:val="center"/>
          </w:tcPr>
          <w:p w14:paraId="5EBE9E3B" w14:textId="77777777" w:rsidR="00E8580F" w:rsidRPr="00E975A7" w:rsidRDefault="00E8580F">
            <w:pPr>
              <w:jc w:val="center"/>
              <w:rPr>
                <w:rFonts w:ascii="Times New Roman" w:hAnsi="Times New Roman" w:cs="Times New Roman"/>
              </w:rPr>
            </w:pPr>
            <w:r w:rsidRPr="00E975A7">
              <w:rPr>
                <w:rFonts w:ascii="Times New Roman" w:hAnsi="Times New Roman" w:cs="Times New Roman"/>
                <w:b/>
                <w:bCs/>
                <w:color w:val="1F3A5F"/>
              </w:rPr>
              <w:t>7</w:t>
            </w:r>
          </w:p>
          <w:p w14:paraId="51C9133A" w14:textId="20DAF025" w:rsidR="00E8580F" w:rsidRPr="00E975A7" w:rsidRDefault="00E8580F" w:rsidP="00E8580F">
            <w:pPr>
              <w:spacing w:after="20"/>
              <w:jc w:val="center"/>
              <w:rPr>
                <w:rFonts w:ascii="Times New Roman" w:hAnsi="Times New Roman" w:cs="Times New Roman"/>
              </w:rPr>
            </w:pPr>
            <w:r w:rsidRPr="00E975A7">
              <w:rPr>
                <w:rFonts w:ascii="Times New Roman" w:hAnsi="Times New Roman" w:cs="Times New Roman"/>
                <w:b/>
                <w:bCs/>
                <w:color w:val="5B6B7F"/>
                <w:lang w:val="en-US"/>
              </w:rPr>
              <w:t>D</w:t>
            </w:r>
            <w:r w:rsidRPr="00E975A7">
              <w:rPr>
                <w:rFonts w:ascii="Times New Roman" w:hAnsi="Times New Roman" w:cs="Times New Roman"/>
                <w:b/>
                <w:bCs/>
                <w:color w:val="5B6B7F"/>
              </w:rPr>
              <w:t>uplicates (15%)</w:t>
            </w:r>
          </w:p>
        </w:tc>
        <w:tc>
          <w:tcPr>
            <w:tcW w:w="3406" w:type="dxa"/>
            <w:tcBorders>
              <w:top w:val="none" w:sz="0" w:space="0" w:color="FFFFFF"/>
              <w:left w:val="none" w:sz="0" w:space="0" w:color="FFFFFF"/>
              <w:bottom w:val="none" w:sz="0" w:space="0" w:color="FFFFFF"/>
              <w:right w:val="none" w:sz="0" w:space="0" w:color="FFFFFF"/>
            </w:tcBorders>
            <w:tcMar>
              <w:top w:w="30" w:type="dxa"/>
              <w:left w:w="120" w:type="dxa"/>
              <w:bottom w:w="30" w:type="dxa"/>
              <w:right w:w="0" w:type="dxa"/>
            </w:tcMar>
            <w:vAlign w:val="center"/>
          </w:tcPr>
          <w:p w14:paraId="29F37116" w14:textId="784BFA00" w:rsidR="00E8580F" w:rsidRPr="00E975A7" w:rsidRDefault="00E8580F">
            <w:pPr>
              <w:rPr>
                <w:rFonts w:ascii="Times New Roman" w:hAnsi="Times New Roman" w:cs="Times New Roman"/>
                <w:lang w:val="en-US"/>
              </w:rPr>
            </w:pPr>
          </w:p>
        </w:tc>
        <w:tc>
          <w:tcPr>
            <w:tcW w:w="1700" w:type="dxa"/>
            <w:tcBorders>
              <w:top w:val="none" w:sz="0" w:space="0" w:color="FFFFFF"/>
              <w:left w:val="none" w:sz="0" w:space="0" w:color="FFFFFF"/>
              <w:bottom w:val="none" w:sz="0" w:space="0" w:color="FFFFFF"/>
              <w:right w:val="none" w:sz="0" w:space="0" w:color="FFFFFF"/>
            </w:tcBorders>
          </w:tcPr>
          <w:p w14:paraId="7B462ABC" w14:textId="77777777" w:rsidR="00E8580F" w:rsidRPr="00E975A7" w:rsidRDefault="00E8580F">
            <w:pPr>
              <w:rPr>
                <w:rFonts w:ascii="Times New Roman" w:hAnsi="Times New Roman" w:cs="Times New Roman"/>
                <w:lang w:val="en-US"/>
              </w:rPr>
            </w:pPr>
          </w:p>
        </w:tc>
      </w:tr>
    </w:tbl>
    <w:p w14:paraId="46F7EC39" w14:textId="77777777" w:rsidR="00206CD2" w:rsidRPr="00E975A7" w:rsidRDefault="00206CD2">
      <w:pPr>
        <w:spacing w:before="60" w:line="270" w:lineRule="auto"/>
        <w:jc w:val="both"/>
        <w:rPr>
          <w:rFonts w:ascii="Times New Roman" w:hAnsi="Times New Roman" w:cs="Times New Roman"/>
          <w:lang w:val="en-US"/>
        </w:rPr>
      </w:pPr>
    </w:p>
    <w:p w14:paraId="72B08A23" w14:textId="7E023F2A" w:rsidR="005D4AED" w:rsidRPr="00E975A7" w:rsidRDefault="005D4AED">
      <w:pPr>
        <w:spacing w:before="60" w:line="270" w:lineRule="auto"/>
        <w:jc w:val="both"/>
        <w:rPr>
          <w:rFonts w:ascii="Times New Roman" w:hAnsi="Times New Roman" w:cs="Times New Roman"/>
          <w:lang w:val="en-US"/>
        </w:rPr>
      </w:pPr>
      <w:r w:rsidRPr="00E975A7">
        <w:rPr>
          <w:rFonts w:ascii="Times New Roman" w:hAnsi="Times New Roman" w:cs="Times New Roman"/>
          <w:lang w:val="en-US"/>
        </w:rPr>
        <w:t>Out of 46 total appeals</w:t>
      </w:r>
      <w:r w:rsidR="008E0038" w:rsidRPr="00E975A7">
        <w:rPr>
          <w:rFonts w:ascii="Times New Roman" w:hAnsi="Times New Roman" w:cs="Times New Roman"/>
          <w:lang w:val="en-US"/>
        </w:rPr>
        <w:t>:</w:t>
      </w:r>
      <w:r w:rsidRPr="00E975A7">
        <w:rPr>
          <w:rFonts w:ascii="Times New Roman" w:hAnsi="Times New Roman" w:cs="Times New Roman"/>
          <w:lang w:val="en-US"/>
        </w:rPr>
        <w:t xml:space="preserve"> 39 (85</w:t>
      </w:r>
      <w:r w:rsidR="008E0038" w:rsidRPr="00E975A7">
        <w:rPr>
          <w:rFonts w:ascii="Times New Roman" w:hAnsi="Times New Roman" w:cs="Times New Roman"/>
          <w:lang w:val="en-US"/>
        </w:rPr>
        <w:t>%) were</w:t>
      </w:r>
      <w:r w:rsidR="00A4405F" w:rsidRPr="00E975A7">
        <w:rPr>
          <w:rFonts w:ascii="Times New Roman" w:hAnsi="Times New Roman" w:cs="Times New Roman"/>
          <w:lang w:val="en-US"/>
        </w:rPr>
        <w:t xml:space="preserve"> responded as per established order</w:t>
      </w:r>
      <w:r w:rsidRPr="00E975A7">
        <w:rPr>
          <w:rFonts w:ascii="Times New Roman" w:hAnsi="Times New Roman" w:cs="Times New Roman"/>
          <w:lang w:val="en-US"/>
        </w:rPr>
        <w:t xml:space="preserve">, while the remaining 7 (15%) were identified as duplicate </w:t>
      </w:r>
      <w:r w:rsidR="004D5AC7" w:rsidRPr="00E975A7">
        <w:rPr>
          <w:rFonts w:ascii="Times New Roman" w:hAnsi="Times New Roman" w:cs="Times New Roman"/>
          <w:lang w:val="en-US"/>
        </w:rPr>
        <w:t>appeals</w:t>
      </w:r>
      <w:r w:rsidRPr="00E975A7">
        <w:rPr>
          <w:rFonts w:ascii="Times New Roman" w:hAnsi="Times New Roman" w:cs="Times New Roman"/>
          <w:lang w:val="en-US"/>
        </w:rPr>
        <w:t>.</w:t>
      </w:r>
    </w:p>
    <w:p w14:paraId="76021CC0" w14:textId="4A15ED75" w:rsidR="00206CD2" w:rsidRPr="00E975A7" w:rsidRDefault="00206CD2">
      <w:pPr>
        <w:spacing w:before="60" w:line="270" w:lineRule="auto"/>
        <w:jc w:val="both"/>
        <w:rPr>
          <w:rFonts w:ascii="Times New Roman" w:hAnsi="Times New Roman" w:cs="Times New Roman"/>
          <w:lang w:val="en-US"/>
        </w:rPr>
      </w:pPr>
    </w:p>
    <w:p w14:paraId="46437726" w14:textId="77777777" w:rsidR="00206CD2" w:rsidRPr="00E975A7" w:rsidRDefault="00206CD2">
      <w:pPr>
        <w:spacing w:before="60" w:line="270" w:lineRule="auto"/>
        <w:jc w:val="both"/>
        <w:rPr>
          <w:rFonts w:ascii="Times New Roman" w:hAnsi="Times New Roman" w:cs="Times New Roman"/>
          <w:lang w:val="en-US"/>
        </w:rPr>
      </w:pPr>
    </w:p>
    <w:p w14:paraId="694373E8" w14:textId="7EB1D8F6" w:rsidR="005D4AED" w:rsidRPr="00E975A7" w:rsidRDefault="005D4AED">
      <w:pPr>
        <w:spacing w:before="60" w:line="270" w:lineRule="auto"/>
        <w:jc w:val="both"/>
        <w:rPr>
          <w:rFonts w:ascii="Times New Roman" w:hAnsi="Times New Roman" w:cs="Times New Roman"/>
          <w:lang w:val="en-US"/>
        </w:rPr>
      </w:pPr>
    </w:p>
    <w:p w14:paraId="07DD4CE2" w14:textId="4FDB22C9" w:rsidR="00206CD2" w:rsidRPr="00E975A7" w:rsidRDefault="00206CD2">
      <w:pPr>
        <w:spacing w:before="60" w:line="270" w:lineRule="auto"/>
        <w:jc w:val="both"/>
        <w:rPr>
          <w:rFonts w:ascii="Times New Roman" w:hAnsi="Times New Roman" w:cs="Times New Roman"/>
          <w:lang w:val="en-US"/>
        </w:rPr>
      </w:pPr>
    </w:p>
    <w:p w14:paraId="24D26B10" w14:textId="23A1EB65" w:rsidR="00206CD2" w:rsidRPr="00E975A7" w:rsidRDefault="00206CD2">
      <w:pPr>
        <w:spacing w:before="60" w:line="270" w:lineRule="auto"/>
        <w:jc w:val="both"/>
        <w:rPr>
          <w:rFonts w:ascii="Times New Roman" w:hAnsi="Times New Roman" w:cs="Times New Roman"/>
          <w:lang w:val="en-US"/>
        </w:rPr>
      </w:pPr>
    </w:p>
    <w:p w14:paraId="15D0347F" w14:textId="258A0B9E" w:rsidR="00206CD2" w:rsidRPr="00E975A7" w:rsidRDefault="00206CD2">
      <w:pPr>
        <w:spacing w:before="60" w:line="270" w:lineRule="auto"/>
        <w:jc w:val="both"/>
        <w:rPr>
          <w:rFonts w:ascii="Times New Roman" w:hAnsi="Times New Roman" w:cs="Times New Roman"/>
          <w:lang w:val="en-US"/>
        </w:rPr>
      </w:pPr>
    </w:p>
    <w:p w14:paraId="3BEC717C" w14:textId="395FBAA0" w:rsidR="00206CD2" w:rsidRPr="00E975A7" w:rsidRDefault="00206CD2">
      <w:pPr>
        <w:spacing w:before="60" w:line="270" w:lineRule="auto"/>
        <w:jc w:val="both"/>
        <w:rPr>
          <w:rFonts w:ascii="Times New Roman" w:hAnsi="Times New Roman" w:cs="Times New Roman"/>
          <w:lang w:val="en-US"/>
        </w:rPr>
      </w:pPr>
    </w:p>
    <w:p w14:paraId="2887684A" w14:textId="77777777" w:rsidR="00206CD2" w:rsidRPr="00E975A7" w:rsidRDefault="00206CD2">
      <w:pPr>
        <w:spacing w:before="60" w:line="270" w:lineRule="auto"/>
        <w:jc w:val="both"/>
        <w:rPr>
          <w:rFonts w:ascii="Times New Roman" w:hAnsi="Times New Roman" w:cs="Times New Roman"/>
          <w:lang w:val="en-US"/>
        </w:rPr>
      </w:pPr>
    </w:p>
    <w:p w14:paraId="22A37DC5" w14:textId="738ED332" w:rsidR="002C106A" w:rsidRPr="00E975A7" w:rsidRDefault="002C106A">
      <w:pPr>
        <w:keepNext/>
        <w:pBdr>
          <w:left w:val="single" w:sz="36" w:space="8" w:color="E9B44C"/>
        </w:pBdr>
        <w:spacing w:before="160" w:after="80"/>
        <w:rPr>
          <w:rFonts w:ascii="Times New Roman" w:hAnsi="Times New Roman" w:cs="Times New Roman"/>
          <w:b/>
          <w:bCs/>
          <w:i/>
          <w:iCs/>
          <w:color w:val="1F3A5F"/>
          <w:lang w:val="en-US"/>
        </w:rPr>
      </w:pPr>
      <w:bookmarkStart w:id="0" w:name="_Hlk242439400"/>
      <w:r w:rsidRPr="00E975A7">
        <w:rPr>
          <w:rFonts w:ascii="Times New Roman" w:hAnsi="Times New Roman" w:cs="Times New Roman"/>
          <w:b/>
          <w:bCs/>
          <w:i/>
          <w:iCs/>
          <w:color w:val="1F3A5F"/>
          <w:lang w:val="en-US"/>
        </w:rPr>
        <w:t>Consideration of Appeals, Systemic Deficiencies and Remedial Measures</w:t>
      </w:r>
      <w:bookmarkEnd w:id="0"/>
    </w:p>
    <w:p w14:paraId="50E99E6B" w14:textId="7B2D553F" w:rsidR="003F212D" w:rsidRPr="00E975A7" w:rsidRDefault="003F212D" w:rsidP="00674AE4">
      <w:pPr>
        <w:pStyle w:val="NormalWeb"/>
        <w:jc w:val="both"/>
        <w:rPr>
          <w:rFonts w:eastAsia="Arial"/>
          <w:sz w:val="20"/>
          <w:szCs w:val="20"/>
          <w:lang w:val="en-US"/>
        </w:rPr>
      </w:pPr>
      <w:r w:rsidRPr="00E975A7">
        <w:rPr>
          <w:rFonts w:eastAsia="Arial"/>
          <w:sz w:val="20"/>
          <w:szCs w:val="20"/>
          <w:lang w:val="en-US"/>
        </w:rPr>
        <w:t xml:space="preserve">In accordance with </w:t>
      </w:r>
      <w:r w:rsidR="0018170E">
        <w:rPr>
          <w:rFonts w:eastAsia="Arial"/>
          <w:sz w:val="20"/>
          <w:szCs w:val="20"/>
          <w:lang w:val="en-US"/>
        </w:rPr>
        <w:t>national</w:t>
      </w:r>
      <w:r w:rsidR="0018170E" w:rsidRPr="00E975A7">
        <w:rPr>
          <w:rFonts w:eastAsia="Arial"/>
          <w:sz w:val="20"/>
          <w:szCs w:val="20"/>
          <w:lang w:val="en-US"/>
        </w:rPr>
        <w:t xml:space="preserve"> </w:t>
      </w:r>
      <w:r w:rsidR="004D5AC7" w:rsidRPr="00E975A7">
        <w:rPr>
          <w:rFonts w:eastAsia="Arial"/>
          <w:sz w:val="20"/>
          <w:szCs w:val="20"/>
          <w:lang w:val="en-US"/>
        </w:rPr>
        <w:t>legislation requirements</w:t>
      </w:r>
      <w:r w:rsidRPr="00E975A7">
        <w:rPr>
          <w:rFonts w:eastAsia="Arial"/>
          <w:sz w:val="20"/>
          <w:szCs w:val="20"/>
          <w:lang w:val="en-US"/>
        </w:rPr>
        <w:t xml:space="preserve">, KDB Bank ensures that its services and products are tailored to consumer needs. </w:t>
      </w:r>
      <w:r w:rsidR="0098110E" w:rsidRPr="0098110E">
        <w:rPr>
          <w:rFonts w:eastAsia="Arial"/>
          <w:sz w:val="20"/>
          <w:szCs w:val="20"/>
          <w:lang w:val="en-US"/>
        </w:rPr>
        <w:t>The Bank establishes transparent and fair relationships with consumers by providing digital public offers and concluding agreements, ensuring that all service processes meet both customer requirements and regulatory standards.</w:t>
      </w:r>
    </w:p>
    <w:p w14:paraId="58C0B1E5" w14:textId="6791A740" w:rsidR="00206CD2" w:rsidRPr="00E975A7" w:rsidRDefault="003F212D" w:rsidP="00674AE4">
      <w:pPr>
        <w:pStyle w:val="NormalWeb"/>
        <w:jc w:val="both"/>
        <w:rPr>
          <w:rFonts w:eastAsia="Arial"/>
          <w:sz w:val="20"/>
          <w:szCs w:val="20"/>
          <w:lang w:val="en-US"/>
        </w:rPr>
      </w:pPr>
      <w:r w:rsidRPr="00E975A7">
        <w:rPr>
          <w:rFonts w:eastAsia="Arial"/>
          <w:sz w:val="20"/>
          <w:szCs w:val="20"/>
          <w:lang w:val="en-US"/>
        </w:rPr>
        <w:t>No major deficiencies or violations were identified during the reporting period. All appeals were handled in accordance with established procedures and timeframes.</w:t>
      </w:r>
    </w:p>
    <w:p w14:paraId="00633498" w14:textId="7E31AF60" w:rsidR="0096430D" w:rsidRPr="00E975A7" w:rsidRDefault="0096430D" w:rsidP="00674AE4">
      <w:pPr>
        <w:pStyle w:val="NormalWeb"/>
        <w:jc w:val="both"/>
        <w:rPr>
          <w:rFonts w:eastAsia="Arial"/>
          <w:b/>
          <w:bCs/>
          <w:i/>
          <w:iCs/>
          <w:color w:val="1F3A5F"/>
          <w:sz w:val="20"/>
          <w:szCs w:val="20"/>
          <w:lang w:val="en-US"/>
        </w:rPr>
      </w:pPr>
      <w:r w:rsidRPr="00E975A7">
        <w:rPr>
          <w:rFonts w:eastAsia="Arial"/>
          <w:b/>
          <w:bCs/>
          <w:i/>
          <w:iCs/>
          <w:color w:val="1F3A5F"/>
          <w:sz w:val="20"/>
          <w:szCs w:val="20"/>
          <w:lang w:val="en-US"/>
        </w:rPr>
        <w:t xml:space="preserve">Following a comprehensive analysis of the </w:t>
      </w:r>
      <w:r w:rsidR="004D5AC7" w:rsidRPr="00E975A7">
        <w:rPr>
          <w:rFonts w:eastAsia="Arial"/>
          <w:b/>
          <w:bCs/>
          <w:i/>
          <w:iCs/>
          <w:color w:val="1F3A5F"/>
          <w:sz w:val="20"/>
          <w:szCs w:val="20"/>
          <w:lang w:val="en-US"/>
        </w:rPr>
        <w:t xml:space="preserve">matters </w:t>
      </w:r>
      <w:r w:rsidRPr="00E975A7">
        <w:rPr>
          <w:rFonts w:eastAsia="Arial"/>
          <w:b/>
          <w:bCs/>
          <w:i/>
          <w:iCs/>
          <w:color w:val="1F3A5F"/>
          <w:sz w:val="20"/>
          <w:szCs w:val="20"/>
          <w:lang w:val="en-US"/>
        </w:rPr>
        <w:t>raised</w:t>
      </w:r>
      <w:r w:rsidR="004D5AC7" w:rsidRPr="00E975A7">
        <w:rPr>
          <w:rFonts w:eastAsia="Arial"/>
          <w:b/>
          <w:bCs/>
          <w:i/>
          <w:iCs/>
          <w:color w:val="1F3A5F"/>
          <w:sz w:val="20"/>
          <w:szCs w:val="20"/>
          <w:lang w:val="en-US"/>
        </w:rPr>
        <w:t xml:space="preserve"> in appeals</w:t>
      </w:r>
      <w:r w:rsidRPr="00E975A7">
        <w:rPr>
          <w:rFonts w:eastAsia="Arial"/>
          <w:b/>
          <w:bCs/>
          <w:i/>
          <w:iCs/>
          <w:color w:val="1F3A5F"/>
          <w:sz w:val="20"/>
          <w:szCs w:val="20"/>
          <w:lang w:val="en-US"/>
        </w:rPr>
        <w:t>, the Bank has implemented the following measures: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4178"/>
        <w:gridCol w:w="2000"/>
        <w:gridCol w:w="2900"/>
      </w:tblGrid>
      <w:tr w:rsidR="002C106A" w:rsidRPr="0098110E" w14:paraId="54680581" w14:textId="77777777" w:rsidTr="00FE66CB">
        <w:trPr>
          <w:cantSplit/>
          <w:tblHeader/>
        </w:trPr>
        <w:tc>
          <w:tcPr>
            <w:tcW w:w="560" w:type="dxa"/>
            <w:tcBorders>
              <w:top w:val="single" w:sz="6" w:space="0" w:color="000000"/>
              <w:left w:val="single" w:sz="6" w:space="0" w:color="000000"/>
              <w:bottom w:val="single" w:sz="6" w:space="0" w:color="000000"/>
              <w:right w:val="single" w:sz="6" w:space="0" w:color="000000"/>
            </w:tcBorders>
            <w:shd w:val="clear" w:color="auto" w:fill="D9E2F3"/>
            <w:tcMar>
              <w:top w:w="60" w:type="dxa"/>
              <w:left w:w="110" w:type="dxa"/>
              <w:bottom w:w="60" w:type="dxa"/>
              <w:right w:w="110" w:type="dxa"/>
            </w:tcMar>
            <w:vAlign w:val="center"/>
          </w:tcPr>
          <w:p w14:paraId="6C05BF2E" w14:textId="77777777" w:rsidR="002C106A" w:rsidRPr="00E975A7" w:rsidRDefault="002C106A" w:rsidP="00FE66CB">
            <w:pPr>
              <w:spacing w:line="250" w:lineRule="auto"/>
              <w:jc w:val="center"/>
              <w:rPr>
                <w:rFonts w:ascii="Times New Roman" w:hAnsi="Times New Roman" w:cs="Times New Roman"/>
              </w:rPr>
            </w:pPr>
            <w:r w:rsidRPr="00E975A7">
              <w:rPr>
                <w:rFonts w:ascii="Times New Roman" w:eastAsia="Times New Roman" w:hAnsi="Times New Roman" w:cs="Times New Roman"/>
                <w:b/>
                <w:bCs/>
              </w:rPr>
              <w:t>№</w:t>
            </w:r>
          </w:p>
        </w:tc>
        <w:tc>
          <w:tcPr>
            <w:tcW w:w="4178" w:type="dxa"/>
            <w:tcBorders>
              <w:top w:val="single" w:sz="6" w:space="0" w:color="000000"/>
              <w:left w:val="single" w:sz="6" w:space="0" w:color="000000"/>
              <w:bottom w:val="single" w:sz="6" w:space="0" w:color="000000"/>
              <w:right w:val="single" w:sz="6" w:space="0" w:color="000000"/>
            </w:tcBorders>
            <w:shd w:val="clear" w:color="auto" w:fill="D9E2F3"/>
            <w:tcMar>
              <w:top w:w="60" w:type="dxa"/>
              <w:left w:w="110" w:type="dxa"/>
              <w:bottom w:w="60" w:type="dxa"/>
              <w:right w:w="110" w:type="dxa"/>
            </w:tcMar>
            <w:vAlign w:val="center"/>
          </w:tcPr>
          <w:p w14:paraId="33843362" w14:textId="77777777" w:rsidR="002C106A" w:rsidRPr="00E975A7" w:rsidRDefault="002C106A" w:rsidP="00FE66CB">
            <w:pPr>
              <w:spacing w:line="250" w:lineRule="auto"/>
              <w:jc w:val="center"/>
              <w:rPr>
                <w:rFonts w:ascii="Times New Roman" w:hAnsi="Times New Roman" w:cs="Times New Roman"/>
              </w:rPr>
            </w:pPr>
            <w:r w:rsidRPr="00E975A7">
              <w:rPr>
                <w:rFonts w:ascii="Times New Roman" w:eastAsia="Times New Roman" w:hAnsi="Times New Roman" w:cs="Times New Roman"/>
                <w:b/>
                <w:bCs/>
              </w:rPr>
              <w:t>Measures</w:t>
            </w:r>
          </w:p>
        </w:tc>
        <w:tc>
          <w:tcPr>
            <w:tcW w:w="2000" w:type="dxa"/>
            <w:tcBorders>
              <w:top w:val="single" w:sz="6" w:space="0" w:color="000000"/>
              <w:left w:val="single" w:sz="6" w:space="0" w:color="000000"/>
              <w:bottom w:val="single" w:sz="6" w:space="0" w:color="000000"/>
              <w:right w:val="single" w:sz="6" w:space="0" w:color="000000"/>
            </w:tcBorders>
            <w:shd w:val="clear" w:color="auto" w:fill="D9E2F3"/>
            <w:tcMar>
              <w:top w:w="60" w:type="dxa"/>
              <w:left w:w="110" w:type="dxa"/>
              <w:bottom w:w="60" w:type="dxa"/>
              <w:right w:w="110" w:type="dxa"/>
            </w:tcMar>
            <w:vAlign w:val="center"/>
          </w:tcPr>
          <w:p w14:paraId="71B41130" w14:textId="77777777" w:rsidR="002C106A" w:rsidRPr="00E975A7" w:rsidRDefault="002C106A" w:rsidP="00FE66CB">
            <w:pPr>
              <w:spacing w:line="250" w:lineRule="auto"/>
              <w:jc w:val="center"/>
              <w:rPr>
                <w:rFonts w:ascii="Times New Roman" w:hAnsi="Times New Roman" w:cs="Times New Roman"/>
              </w:rPr>
            </w:pPr>
            <w:r w:rsidRPr="00E975A7">
              <w:rPr>
                <w:rFonts w:ascii="Times New Roman" w:eastAsia="Times New Roman" w:hAnsi="Times New Roman" w:cs="Times New Roman"/>
                <w:b/>
                <w:bCs/>
              </w:rPr>
              <w:t>Implementation period</w:t>
            </w:r>
          </w:p>
        </w:tc>
        <w:tc>
          <w:tcPr>
            <w:tcW w:w="2900" w:type="dxa"/>
            <w:tcBorders>
              <w:top w:val="single" w:sz="6" w:space="0" w:color="000000"/>
              <w:left w:val="single" w:sz="6" w:space="0" w:color="000000"/>
              <w:bottom w:val="single" w:sz="6" w:space="0" w:color="000000"/>
              <w:right w:val="single" w:sz="6" w:space="0" w:color="000000"/>
            </w:tcBorders>
            <w:shd w:val="clear" w:color="auto" w:fill="D9E2F3"/>
            <w:tcMar>
              <w:top w:w="60" w:type="dxa"/>
              <w:left w:w="110" w:type="dxa"/>
              <w:bottom w:w="60" w:type="dxa"/>
              <w:right w:w="110" w:type="dxa"/>
            </w:tcMar>
            <w:vAlign w:val="center"/>
          </w:tcPr>
          <w:p w14:paraId="24044F6E" w14:textId="5322025D" w:rsidR="002C106A" w:rsidRPr="00E975A7" w:rsidRDefault="002C106A" w:rsidP="00FE66CB">
            <w:pPr>
              <w:spacing w:line="250" w:lineRule="auto"/>
              <w:jc w:val="center"/>
              <w:rPr>
                <w:rFonts w:ascii="Times New Roman" w:hAnsi="Times New Roman" w:cs="Times New Roman"/>
              </w:rPr>
            </w:pPr>
            <w:r w:rsidRPr="00E975A7">
              <w:rPr>
                <w:rFonts w:ascii="Times New Roman" w:eastAsia="Times New Roman" w:hAnsi="Times New Roman" w:cs="Times New Roman"/>
                <w:b/>
                <w:bCs/>
              </w:rPr>
              <w:t xml:space="preserve">Responsible </w:t>
            </w:r>
            <w:r w:rsidR="0077257B" w:rsidRPr="0098110E">
              <w:rPr>
                <w:rFonts w:ascii="Times New Roman" w:eastAsia="Times New Roman" w:hAnsi="Times New Roman" w:cs="Times New Roman"/>
                <w:b/>
                <w:bCs/>
                <w:lang w:val="en-GB"/>
              </w:rPr>
              <w:t>structural units</w:t>
            </w:r>
          </w:p>
        </w:tc>
      </w:tr>
      <w:tr w:rsidR="005D4AED" w:rsidRPr="0098110E" w14:paraId="21D57582" w14:textId="77777777" w:rsidTr="00FE66CB">
        <w:trPr>
          <w:cantSplit/>
        </w:trPr>
        <w:tc>
          <w:tcPr>
            <w:tcW w:w="560"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6819DC9D" w14:textId="5FE16DC8" w:rsidR="005D4AED" w:rsidRPr="00E975A7" w:rsidRDefault="008E0038" w:rsidP="005D4AED">
            <w:pPr>
              <w:spacing w:line="250" w:lineRule="auto"/>
              <w:jc w:val="center"/>
              <w:rPr>
                <w:rFonts w:ascii="Times New Roman" w:hAnsi="Times New Roman" w:cs="Times New Roman"/>
                <w:lang w:val="en-US"/>
              </w:rPr>
            </w:pPr>
            <w:r w:rsidRPr="00E975A7">
              <w:rPr>
                <w:rFonts w:ascii="Times New Roman" w:hAnsi="Times New Roman" w:cs="Times New Roman"/>
                <w:lang w:val="en-US"/>
              </w:rPr>
              <w:t>1</w:t>
            </w:r>
          </w:p>
        </w:tc>
        <w:tc>
          <w:tcPr>
            <w:tcW w:w="4178"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43315065" w14:textId="6537D210" w:rsidR="005D4AED" w:rsidRPr="00E975A7" w:rsidRDefault="005D4AED" w:rsidP="005D4AED">
            <w:pPr>
              <w:spacing w:line="250" w:lineRule="auto"/>
              <w:jc w:val="both"/>
              <w:rPr>
                <w:rFonts w:ascii="Times New Roman" w:hAnsi="Times New Roman" w:cs="Times New Roman"/>
                <w:highlight w:val="yellow"/>
                <w:lang w:val="en-US"/>
              </w:rPr>
            </w:pPr>
            <w:r w:rsidRPr="00E975A7">
              <w:rPr>
                <w:rFonts w:ascii="Times New Roman" w:eastAsia="Calibri" w:hAnsi="Times New Roman" w:cs="Times New Roman"/>
                <w:lang w:val="uz-Latn-UZ"/>
              </w:rPr>
              <w:t>To ensure the continuous availability of 24/7 card blocking services and the uninterrupted operation of anti-fraud systems.</w:t>
            </w:r>
          </w:p>
        </w:tc>
        <w:tc>
          <w:tcPr>
            <w:tcW w:w="2000"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55E618F8" w14:textId="1465699D" w:rsidR="005D4AED" w:rsidRPr="00E975A7" w:rsidRDefault="005D4AED" w:rsidP="005D4AED">
            <w:pPr>
              <w:spacing w:line="250" w:lineRule="auto"/>
              <w:jc w:val="center"/>
              <w:rPr>
                <w:rFonts w:ascii="Times New Roman" w:hAnsi="Times New Roman" w:cs="Times New Roman"/>
                <w:highlight w:val="yellow"/>
                <w:lang w:val="en-US"/>
              </w:rPr>
            </w:pPr>
            <w:r w:rsidRPr="00E975A7">
              <w:rPr>
                <w:rFonts w:ascii="Times New Roman" w:hAnsi="Times New Roman" w:cs="Times New Roman"/>
                <w:lang w:val="uz-Latn-UZ"/>
              </w:rPr>
              <w:t>Ongoing</w:t>
            </w:r>
          </w:p>
        </w:tc>
        <w:tc>
          <w:tcPr>
            <w:tcW w:w="2900"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651E3258" w14:textId="3A5BBEAD" w:rsidR="005D4AED" w:rsidRPr="00E975A7" w:rsidRDefault="005D4AED" w:rsidP="005D4AED">
            <w:pPr>
              <w:spacing w:after="255" w:line="254" w:lineRule="auto"/>
              <w:contextualSpacing/>
              <w:jc w:val="both"/>
              <w:rPr>
                <w:rFonts w:ascii="Times New Roman" w:hAnsi="Times New Roman" w:cs="Times New Roman"/>
                <w:color w:val="000000" w:themeColor="text1"/>
                <w:lang w:val="uz-Latn-UZ"/>
              </w:rPr>
            </w:pPr>
            <w:r w:rsidRPr="00E975A7">
              <w:rPr>
                <w:rFonts w:ascii="Times New Roman" w:hAnsi="Times New Roman" w:cs="Times New Roman"/>
                <w:color w:val="000000" w:themeColor="text1"/>
                <w:lang w:val="uz-Latn-UZ"/>
              </w:rPr>
              <w:t>Bank Cards Department;</w:t>
            </w:r>
          </w:p>
          <w:p w14:paraId="6CAECD22" w14:textId="11F57718" w:rsidR="008E0038" w:rsidRPr="00E975A7" w:rsidRDefault="008E0038" w:rsidP="005D4AED">
            <w:pPr>
              <w:spacing w:after="255" w:line="254" w:lineRule="auto"/>
              <w:contextualSpacing/>
              <w:jc w:val="both"/>
              <w:rPr>
                <w:rFonts w:ascii="Times New Roman" w:eastAsia="Times New Roman" w:hAnsi="Times New Roman" w:cs="Times New Roman"/>
                <w:lang w:val="en-US"/>
              </w:rPr>
            </w:pPr>
            <w:r w:rsidRPr="00E975A7">
              <w:rPr>
                <w:rFonts w:ascii="Times New Roman" w:hAnsi="Times New Roman" w:cs="Times New Roman"/>
                <w:color w:val="000000" w:themeColor="text1"/>
                <w:lang w:val="uz-Latn-UZ"/>
              </w:rPr>
              <w:t>Antifraud department;</w:t>
            </w:r>
          </w:p>
          <w:p w14:paraId="06AB7CBF" w14:textId="152C38EB" w:rsidR="005D4AED" w:rsidRPr="00E975A7" w:rsidRDefault="005D4AED" w:rsidP="005D4AED">
            <w:pPr>
              <w:spacing w:after="255" w:line="254" w:lineRule="auto"/>
              <w:contextualSpacing/>
              <w:jc w:val="both"/>
              <w:rPr>
                <w:rFonts w:ascii="Times New Roman" w:eastAsia="Times New Roman" w:hAnsi="Times New Roman" w:cs="Times New Roman"/>
                <w:lang w:val="en-US"/>
              </w:rPr>
            </w:pPr>
            <w:r w:rsidRPr="00E975A7">
              <w:rPr>
                <w:rFonts w:ascii="Times New Roman" w:eastAsia="Times New Roman" w:hAnsi="Times New Roman" w:cs="Times New Roman"/>
                <w:lang w:val="en-US"/>
              </w:rPr>
              <w:t>Client Service Department-2 (</w:t>
            </w:r>
            <w:r w:rsidR="004D5AC7" w:rsidRPr="0098110E">
              <w:rPr>
                <w:rFonts w:ascii="Times New Roman" w:eastAsia="Times New Roman" w:hAnsi="Times New Roman" w:cs="Times New Roman"/>
                <w:lang w:val="en-US"/>
              </w:rPr>
              <w:t>including</w:t>
            </w:r>
            <w:r w:rsidR="004D5AC7" w:rsidRPr="00E975A7">
              <w:rPr>
                <w:rFonts w:ascii="Times New Roman" w:eastAsia="Times New Roman" w:hAnsi="Times New Roman" w:cs="Times New Roman"/>
                <w:lang w:val="en-US"/>
              </w:rPr>
              <w:t xml:space="preserve"> </w:t>
            </w:r>
            <w:r w:rsidRPr="00E975A7">
              <w:rPr>
                <w:rFonts w:ascii="Times New Roman" w:eastAsia="Times New Roman" w:hAnsi="Times New Roman" w:cs="Times New Roman"/>
                <w:lang w:val="en-US"/>
              </w:rPr>
              <w:t>Online Support Part);</w:t>
            </w:r>
          </w:p>
          <w:p w14:paraId="7758B99B" w14:textId="39E3C492" w:rsidR="005D4AED" w:rsidRPr="00E975A7" w:rsidRDefault="005D4AED" w:rsidP="008E0038">
            <w:pPr>
              <w:spacing w:after="255" w:line="254" w:lineRule="auto"/>
              <w:contextualSpacing/>
              <w:jc w:val="both"/>
              <w:rPr>
                <w:rFonts w:ascii="Times New Roman" w:hAnsi="Times New Roman" w:cs="Times New Roman"/>
                <w:color w:val="000000" w:themeColor="text1"/>
                <w:lang w:val="uz-Latn-UZ"/>
              </w:rPr>
            </w:pPr>
            <w:r w:rsidRPr="00E975A7">
              <w:rPr>
                <w:rFonts w:ascii="Times New Roman" w:hAnsi="Times New Roman" w:cs="Times New Roman"/>
                <w:color w:val="000000" w:themeColor="text1"/>
                <w:lang w:val="uz-Latn-UZ"/>
              </w:rPr>
              <w:t>Oybek branch</w:t>
            </w:r>
            <w:r w:rsidR="004D5AC7" w:rsidRPr="0098110E">
              <w:rPr>
                <w:rFonts w:ascii="Times New Roman" w:hAnsi="Times New Roman" w:cs="Times New Roman"/>
                <w:color w:val="000000" w:themeColor="text1"/>
                <w:lang w:val="uz-Latn-UZ"/>
              </w:rPr>
              <w:t>.</w:t>
            </w:r>
          </w:p>
        </w:tc>
      </w:tr>
      <w:tr w:rsidR="00F43118" w:rsidRPr="0098110E" w14:paraId="0B31E36B" w14:textId="77777777" w:rsidTr="00F43118">
        <w:trPr>
          <w:cantSplit/>
        </w:trPr>
        <w:tc>
          <w:tcPr>
            <w:tcW w:w="560"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612AA1D5" w14:textId="77777777" w:rsidR="00F43118" w:rsidRPr="00E975A7" w:rsidRDefault="00F43118" w:rsidP="00F43118">
            <w:pPr>
              <w:spacing w:line="250" w:lineRule="auto"/>
              <w:jc w:val="center"/>
              <w:rPr>
                <w:rFonts w:ascii="Times New Roman" w:hAnsi="Times New Roman" w:cs="Times New Roman"/>
                <w:lang w:val="en-US"/>
              </w:rPr>
            </w:pPr>
            <w:r w:rsidRPr="00E975A7">
              <w:rPr>
                <w:rFonts w:ascii="Times New Roman" w:hAnsi="Times New Roman" w:cs="Times New Roman"/>
                <w:lang w:val="en-US"/>
              </w:rPr>
              <w:t>2</w:t>
            </w:r>
          </w:p>
        </w:tc>
        <w:tc>
          <w:tcPr>
            <w:tcW w:w="4178"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3B8F5686" w14:textId="4C29AC70" w:rsidR="00F43118" w:rsidRPr="00E975A7" w:rsidRDefault="00F43118" w:rsidP="00F43118">
            <w:pPr>
              <w:spacing w:line="250" w:lineRule="auto"/>
              <w:jc w:val="both"/>
              <w:rPr>
                <w:rFonts w:ascii="Times New Roman" w:eastAsia="Calibri" w:hAnsi="Times New Roman" w:cs="Times New Roman"/>
                <w:lang w:val="uz-Latn-UZ"/>
              </w:rPr>
            </w:pPr>
            <w:r w:rsidRPr="00E975A7">
              <w:rPr>
                <w:rFonts w:ascii="Times New Roman" w:eastAsia="Calibri" w:hAnsi="Times New Roman" w:cs="Times New Roman"/>
                <w:lang w:val="uz-Latn-UZ"/>
              </w:rPr>
              <w:t xml:space="preserve">To </w:t>
            </w:r>
            <w:r w:rsidR="004D5AC7" w:rsidRPr="0098110E">
              <w:rPr>
                <w:rFonts w:ascii="Times New Roman" w:eastAsia="Calibri" w:hAnsi="Times New Roman" w:cs="Times New Roman"/>
                <w:lang w:val="uz-Latn-UZ"/>
              </w:rPr>
              <w:t>revise the</w:t>
            </w:r>
            <w:r w:rsidRPr="00E975A7">
              <w:rPr>
                <w:rFonts w:ascii="Times New Roman" w:eastAsia="Calibri" w:hAnsi="Times New Roman" w:cs="Times New Roman"/>
                <w:lang w:val="uz-Latn-UZ"/>
              </w:rPr>
              <w:t xml:space="preserve"> </w:t>
            </w:r>
            <w:r w:rsidR="004D5AC7" w:rsidRPr="0098110E">
              <w:rPr>
                <w:rFonts w:ascii="Times New Roman" w:eastAsia="Calibri" w:hAnsi="Times New Roman" w:cs="Times New Roman"/>
                <w:lang w:val="uz-Latn-UZ"/>
              </w:rPr>
              <w:t>Temporary procedure for servicing foreign trade contracts</w:t>
            </w:r>
            <w:r w:rsidRPr="00E975A7">
              <w:rPr>
                <w:rFonts w:ascii="Times New Roman" w:eastAsia="Calibri" w:hAnsi="Times New Roman" w:cs="Times New Roman"/>
                <w:lang w:val="uz-Latn-UZ"/>
              </w:rPr>
              <w:t xml:space="preserve"> in line with applicable regulatory requirements </w:t>
            </w:r>
          </w:p>
        </w:tc>
        <w:tc>
          <w:tcPr>
            <w:tcW w:w="2000"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04F72CF9" w14:textId="193AE2D4" w:rsidR="00F43118" w:rsidRPr="00E975A7" w:rsidRDefault="004D5AC7" w:rsidP="00F43118">
            <w:pPr>
              <w:spacing w:line="250" w:lineRule="auto"/>
              <w:jc w:val="center"/>
              <w:rPr>
                <w:rFonts w:ascii="Times New Roman" w:hAnsi="Times New Roman" w:cs="Times New Roman"/>
                <w:lang w:val="uz-Latn-UZ"/>
              </w:rPr>
            </w:pPr>
            <w:r w:rsidRPr="0098110E">
              <w:rPr>
                <w:rFonts w:ascii="Times New Roman" w:hAnsi="Times New Roman" w:cs="Times New Roman"/>
                <w:lang w:val="uz-Latn-UZ"/>
              </w:rPr>
              <w:t>T</w:t>
            </w:r>
            <w:r w:rsidR="00F43118" w:rsidRPr="00E975A7">
              <w:rPr>
                <w:rFonts w:ascii="Times New Roman" w:hAnsi="Times New Roman" w:cs="Times New Roman"/>
                <w:lang w:val="uz-Latn-UZ"/>
              </w:rPr>
              <w:t xml:space="preserve">he </w:t>
            </w:r>
            <w:r w:rsidRPr="0098110E">
              <w:rPr>
                <w:rFonts w:ascii="Times New Roman" w:hAnsi="Times New Roman" w:cs="Times New Roman"/>
                <w:lang w:val="uz-Latn-UZ"/>
              </w:rPr>
              <w:t xml:space="preserve">Temporary procedure for servicing foreign trade contracts was revised </w:t>
            </w:r>
            <w:r w:rsidR="00F43118" w:rsidRPr="00E975A7">
              <w:rPr>
                <w:rFonts w:ascii="Times New Roman" w:hAnsi="Times New Roman" w:cs="Times New Roman"/>
                <w:lang w:val="uz-Latn-UZ"/>
              </w:rPr>
              <w:t>on 08.07.2026</w:t>
            </w:r>
          </w:p>
        </w:tc>
        <w:tc>
          <w:tcPr>
            <w:tcW w:w="2900" w:type="dxa"/>
            <w:tcBorders>
              <w:top w:val="single" w:sz="6" w:space="0" w:color="000000"/>
              <w:left w:val="single" w:sz="6" w:space="0" w:color="000000"/>
              <w:bottom w:val="single" w:sz="6" w:space="0" w:color="000000"/>
              <w:right w:val="single" w:sz="6" w:space="0" w:color="000000"/>
            </w:tcBorders>
            <w:tcMar>
              <w:top w:w="60" w:type="dxa"/>
              <w:left w:w="110" w:type="dxa"/>
              <w:bottom w:w="60" w:type="dxa"/>
              <w:right w:w="110" w:type="dxa"/>
            </w:tcMar>
            <w:vAlign w:val="center"/>
          </w:tcPr>
          <w:p w14:paraId="1DA62DA5" w14:textId="5C90398E" w:rsidR="00F43118" w:rsidRPr="00E975A7" w:rsidRDefault="00F43118" w:rsidP="00F43118">
            <w:pPr>
              <w:spacing w:after="255" w:line="254" w:lineRule="auto"/>
              <w:contextualSpacing/>
              <w:rPr>
                <w:rFonts w:ascii="Times New Roman" w:hAnsi="Times New Roman" w:cs="Times New Roman"/>
                <w:color w:val="000000" w:themeColor="text1"/>
                <w:lang w:val="uz-Latn-UZ"/>
              </w:rPr>
            </w:pPr>
            <w:r w:rsidRPr="00E975A7">
              <w:rPr>
                <w:rFonts w:ascii="Times New Roman" w:hAnsi="Times New Roman" w:cs="Times New Roman"/>
                <w:color w:val="000000" w:themeColor="text1"/>
                <w:lang w:val="uz-Latn-UZ"/>
              </w:rPr>
              <w:t>Currency Control Department</w:t>
            </w:r>
          </w:p>
        </w:tc>
      </w:tr>
    </w:tbl>
    <w:p w14:paraId="1946B38C" w14:textId="77777777" w:rsidR="00FC75DE" w:rsidRPr="00E975A7" w:rsidRDefault="00FC75DE">
      <w:pPr>
        <w:rPr>
          <w:rFonts w:ascii="Times New Roman" w:hAnsi="Times New Roman" w:cs="Times New Roman"/>
          <w:lang w:val="en-US"/>
        </w:rPr>
      </w:pPr>
    </w:p>
    <w:sectPr w:rsidR="00FC75DE" w:rsidRPr="00E975A7">
      <w:footerReference w:type="default" r:id="rId18"/>
      <w:pgSz w:w="11906" w:h="16838"/>
      <w:pgMar w:top="450" w:right="850" w:bottom="600" w:left="850" w:header="708" w:footer="3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5ADBA" w14:textId="77777777" w:rsidR="004635C4" w:rsidRDefault="004635C4">
      <w:r>
        <w:separator/>
      </w:r>
    </w:p>
  </w:endnote>
  <w:endnote w:type="continuationSeparator" w:id="0">
    <w:p w14:paraId="1B8E4C2E" w14:textId="77777777" w:rsidR="004635C4" w:rsidRDefault="00463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36066" w14:textId="77777777" w:rsidR="002F4636" w:rsidRDefault="0096430D">
    <w:pPr>
      <w:jc w:val="center"/>
    </w:pPr>
    <w:r>
      <w:rPr>
        <w:color w:val="5B6B7F"/>
        <w:sz w:val="16"/>
        <w:szCs w:val="16"/>
      </w:rPr>
      <w:fldChar w:fldCharType="begin"/>
    </w:r>
    <w:r>
      <w:rPr>
        <w:color w:val="5B6B7F"/>
        <w:sz w:val="16"/>
        <w:szCs w:val="16"/>
      </w:rPr>
      <w:instrText>PAGE</w:instrText>
    </w:r>
    <w:r>
      <w:rPr>
        <w:color w:val="5B6B7F"/>
        <w:sz w:val="16"/>
        <w:szCs w:val="16"/>
      </w:rPr>
      <w:fldChar w:fldCharType="separate"/>
    </w:r>
    <w:r w:rsidR="00DD4E01">
      <w:rPr>
        <w:noProof/>
        <w:color w:val="5B6B7F"/>
        <w:sz w:val="16"/>
        <w:szCs w:val="16"/>
      </w:rPr>
      <w:t>1</w:t>
    </w:r>
    <w:r>
      <w:rPr>
        <w:color w:val="5B6B7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04BEB" w14:textId="77777777" w:rsidR="004635C4" w:rsidRDefault="004635C4">
      <w:r>
        <w:separator/>
      </w:r>
    </w:p>
  </w:footnote>
  <w:footnote w:type="continuationSeparator" w:id="0">
    <w:p w14:paraId="348853BC" w14:textId="77777777" w:rsidR="004635C4" w:rsidRDefault="004635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86DD4"/>
    <w:multiLevelType w:val="hybridMultilevel"/>
    <w:tmpl w:val="78A48AB6"/>
    <w:lvl w:ilvl="0" w:tplc="F2DCA0AE">
      <w:start w:val="1"/>
      <w:numFmt w:val="bullet"/>
      <w:lvlText w:val="●"/>
      <w:lvlJc w:val="left"/>
      <w:pPr>
        <w:ind w:left="720" w:hanging="360"/>
      </w:pPr>
    </w:lvl>
    <w:lvl w:ilvl="1" w:tplc="A1582F38">
      <w:start w:val="1"/>
      <w:numFmt w:val="bullet"/>
      <w:lvlText w:val="○"/>
      <w:lvlJc w:val="left"/>
      <w:pPr>
        <w:ind w:left="1440" w:hanging="360"/>
      </w:pPr>
    </w:lvl>
    <w:lvl w:ilvl="2" w:tplc="C554DE0C">
      <w:start w:val="1"/>
      <w:numFmt w:val="bullet"/>
      <w:lvlText w:val="■"/>
      <w:lvlJc w:val="left"/>
      <w:pPr>
        <w:ind w:left="2160" w:hanging="360"/>
      </w:pPr>
    </w:lvl>
    <w:lvl w:ilvl="3" w:tplc="107EFBDC">
      <w:start w:val="1"/>
      <w:numFmt w:val="bullet"/>
      <w:lvlText w:val="●"/>
      <w:lvlJc w:val="left"/>
      <w:pPr>
        <w:ind w:left="2880" w:hanging="360"/>
      </w:pPr>
    </w:lvl>
    <w:lvl w:ilvl="4" w:tplc="D4B0EC7E">
      <w:start w:val="1"/>
      <w:numFmt w:val="bullet"/>
      <w:lvlText w:val="○"/>
      <w:lvlJc w:val="left"/>
      <w:pPr>
        <w:ind w:left="3600" w:hanging="360"/>
      </w:pPr>
    </w:lvl>
    <w:lvl w:ilvl="5" w:tplc="4BC2C1FC">
      <w:start w:val="1"/>
      <w:numFmt w:val="bullet"/>
      <w:lvlText w:val="■"/>
      <w:lvlJc w:val="left"/>
      <w:pPr>
        <w:ind w:left="4320" w:hanging="360"/>
      </w:pPr>
    </w:lvl>
    <w:lvl w:ilvl="6" w:tplc="8BBE7610">
      <w:start w:val="1"/>
      <w:numFmt w:val="bullet"/>
      <w:lvlText w:val="●"/>
      <w:lvlJc w:val="left"/>
      <w:pPr>
        <w:ind w:left="5040" w:hanging="360"/>
      </w:pPr>
    </w:lvl>
    <w:lvl w:ilvl="7" w:tplc="BF164C08">
      <w:start w:val="1"/>
      <w:numFmt w:val="bullet"/>
      <w:lvlText w:val="●"/>
      <w:lvlJc w:val="left"/>
      <w:pPr>
        <w:ind w:left="5760" w:hanging="360"/>
      </w:pPr>
    </w:lvl>
    <w:lvl w:ilvl="8" w:tplc="61CE9026">
      <w:start w:val="1"/>
      <w:numFmt w:val="bullet"/>
      <w:lvlText w:val="●"/>
      <w:lvlJc w:val="left"/>
      <w:pPr>
        <w:ind w:left="6480" w:hanging="360"/>
      </w:pPr>
    </w:lvl>
  </w:abstractNum>
  <w:abstractNum w:abstractNumId="1" w15:restartNumberingAfterBreak="0">
    <w:nsid w:val="645B40D2"/>
    <w:multiLevelType w:val="hybridMultilevel"/>
    <w:tmpl w:val="CD9EC8A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636"/>
    <w:rsid w:val="0018170E"/>
    <w:rsid w:val="00206CD2"/>
    <w:rsid w:val="00221676"/>
    <w:rsid w:val="00264197"/>
    <w:rsid w:val="00281B50"/>
    <w:rsid w:val="002C106A"/>
    <w:rsid w:val="002F4636"/>
    <w:rsid w:val="003F212D"/>
    <w:rsid w:val="004635C4"/>
    <w:rsid w:val="004D5AC7"/>
    <w:rsid w:val="005D4AED"/>
    <w:rsid w:val="00674AE4"/>
    <w:rsid w:val="006C04B0"/>
    <w:rsid w:val="00706A35"/>
    <w:rsid w:val="0077257B"/>
    <w:rsid w:val="008E0038"/>
    <w:rsid w:val="0096430D"/>
    <w:rsid w:val="0098110E"/>
    <w:rsid w:val="00A4405F"/>
    <w:rsid w:val="00AA3A34"/>
    <w:rsid w:val="00D52A82"/>
    <w:rsid w:val="00DD4E01"/>
    <w:rsid w:val="00E8580F"/>
    <w:rsid w:val="00E975A7"/>
    <w:rsid w:val="00F23798"/>
    <w:rsid w:val="00F43118"/>
    <w:rsid w:val="00FB533D"/>
    <w:rsid w:val="00FC75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F13F9"/>
  <w15:docId w15:val="{B193CC73-F2A4-441F-B34B-9F28F167B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semiHidden/>
    <w:unhideWhenUsed/>
    <w:rsid w:val="0096430D"/>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9643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840606">
      <w:bodyDiv w:val="1"/>
      <w:marLeft w:val="0"/>
      <w:marRight w:val="0"/>
      <w:marTop w:val="0"/>
      <w:marBottom w:val="0"/>
      <w:divBdr>
        <w:top w:val="none" w:sz="0" w:space="0" w:color="auto"/>
        <w:left w:val="none" w:sz="0" w:space="0" w:color="auto"/>
        <w:bottom w:val="none" w:sz="0" w:space="0" w:color="auto"/>
        <w:right w:val="none" w:sz="0" w:space="0" w:color="auto"/>
      </w:divBdr>
    </w:div>
    <w:div w:id="1103649323">
      <w:bodyDiv w:val="1"/>
      <w:marLeft w:val="0"/>
      <w:marRight w:val="0"/>
      <w:marTop w:val="0"/>
      <w:marBottom w:val="0"/>
      <w:divBdr>
        <w:top w:val="none" w:sz="0" w:space="0" w:color="auto"/>
        <w:left w:val="none" w:sz="0" w:space="0" w:color="auto"/>
        <w:bottom w:val="none" w:sz="0" w:space="0" w:color="auto"/>
        <w:right w:val="none" w:sz="0" w:space="0" w:color="auto"/>
      </w:divBdr>
    </w:div>
    <w:div w:id="1320646396">
      <w:bodyDiv w:val="1"/>
      <w:marLeft w:val="0"/>
      <w:marRight w:val="0"/>
      <w:marTop w:val="0"/>
      <w:marBottom w:val="0"/>
      <w:divBdr>
        <w:top w:val="none" w:sz="0" w:space="0" w:color="auto"/>
        <w:left w:val="none" w:sz="0" w:space="0" w:color="auto"/>
        <w:bottom w:val="none" w:sz="0" w:space="0" w:color="auto"/>
        <w:right w:val="none" w:sz="0" w:space="0" w:color="auto"/>
      </w:divBdr>
    </w:div>
    <w:div w:id="14406436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A0CB5-0F71-445A-B999-E0B5E88F7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602</Words>
  <Characters>3435</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Q3 2026 Appeals Analytical Report</vt:lpstr>
    </vt:vector>
  </TitlesOfParts>
  <Company>kbb</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2026 Appeals Analytical Report</dc:title>
  <dc:creator>JSC KDB Bank Uzbekistan</dc:creator>
  <cp:lastModifiedBy>Charos Mamatova</cp:lastModifiedBy>
  <cp:revision>2</cp:revision>
  <dcterms:created xsi:type="dcterms:W3CDTF">2026-10-13T06:17:00Z</dcterms:created>
  <dcterms:modified xsi:type="dcterms:W3CDTF">2026-10-13T06:17:00Z</dcterms:modified>
</cp:coreProperties>
</file>